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4A6E" w:rsidRPr="004F70AD" w:rsidRDefault="00F54A6E" w:rsidP="00F54A6E">
      <w:pPr>
        <w:tabs>
          <w:tab w:val="right" w:pos="9639"/>
        </w:tabs>
        <w:spacing w:after="0"/>
        <w:rPr>
          <w:rFonts w:ascii="Arial" w:hAnsi="Arial"/>
          <w:b/>
          <w:i/>
          <w:noProof/>
          <w:sz w:val="28"/>
          <w:lang w:eastAsia="ko-KR"/>
        </w:rPr>
      </w:pPr>
      <w:r w:rsidRPr="004F70AD">
        <w:rPr>
          <w:rFonts w:ascii="Arial" w:hAnsi="Arial"/>
          <w:b/>
          <w:noProof/>
          <w:sz w:val="24"/>
        </w:rPr>
        <w:t>3GPP TSG-RAN WG2 Meeting #11</w:t>
      </w:r>
      <w:r w:rsidR="00AD3AB2">
        <w:rPr>
          <w:rFonts w:ascii="Arial" w:hAnsi="Arial"/>
          <w:b/>
          <w:noProof/>
          <w:sz w:val="24"/>
        </w:rPr>
        <w:t>3</w:t>
      </w:r>
      <w:r w:rsidRPr="004F70AD">
        <w:rPr>
          <w:rFonts w:ascii="Arial" w:hAnsi="Arial"/>
          <w:b/>
          <w:noProof/>
          <w:sz w:val="24"/>
        </w:rPr>
        <w:t>e</w:t>
      </w:r>
      <w:r w:rsidRPr="004F70AD">
        <w:rPr>
          <w:rFonts w:ascii="Arial" w:hAnsi="Arial"/>
          <w:b/>
          <w:i/>
          <w:noProof/>
          <w:sz w:val="28"/>
        </w:rPr>
        <w:tab/>
      </w:r>
      <w:r>
        <w:rPr>
          <w:rFonts w:ascii="Arial" w:hAnsi="Arial" w:hint="eastAsia"/>
          <w:b/>
          <w:i/>
          <w:noProof/>
          <w:sz w:val="28"/>
          <w:lang w:eastAsia="ko-KR"/>
        </w:rPr>
        <w:t>R2-</w:t>
      </w:r>
      <w:r w:rsidR="001919B5">
        <w:rPr>
          <w:rFonts w:ascii="Arial" w:hAnsi="Arial" w:hint="eastAsia"/>
          <w:b/>
          <w:i/>
          <w:noProof/>
          <w:sz w:val="28"/>
          <w:lang w:eastAsia="ko-KR"/>
        </w:rPr>
        <w:t>2</w:t>
      </w:r>
      <w:r w:rsidR="001919B5">
        <w:rPr>
          <w:rFonts w:ascii="Arial" w:hAnsi="Arial"/>
          <w:b/>
          <w:i/>
          <w:noProof/>
          <w:sz w:val="28"/>
          <w:lang w:eastAsia="ko-KR"/>
        </w:rPr>
        <w:t>1</w:t>
      </w:r>
      <w:r w:rsidR="001919B5">
        <w:rPr>
          <w:rFonts w:ascii="Arial" w:hAnsi="Arial" w:hint="eastAsia"/>
          <w:b/>
          <w:i/>
          <w:noProof/>
          <w:sz w:val="28"/>
          <w:lang w:eastAsia="ko-KR"/>
        </w:rPr>
        <w:t>0</w:t>
      </w:r>
      <w:r w:rsidR="001919B5">
        <w:rPr>
          <w:rFonts w:ascii="Arial" w:hAnsi="Arial"/>
          <w:b/>
          <w:i/>
          <w:noProof/>
          <w:sz w:val="28"/>
          <w:lang w:eastAsia="ko-KR"/>
        </w:rPr>
        <w:t>0727</w:t>
      </w:r>
    </w:p>
    <w:p w:rsidR="00D4259F" w:rsidRDefault="00AD3AB2" w:rsidP="00F54A6E">
      <w:pPr>
        <w:widowControl w:val="0"/>
        <w:tabs>
          <w:tab w:val="left" w:pos="1701"/>
          <w:tab w:val="right" w:pos="9923"/>
        </w:tabs>
        <w:spacing w:before="120" w:after="0"/>
        <w:rPr>
          <w:rFonts w:ascii="Arial" w:eastAsiaTheme="minorEastAsia" w:hAnsi="Arial"/>
          <w:b/>
          <w:sz w:val="24"/>
          <w:szCs w:val="24"/>
          <w:lang w:eastAsia="ko-KR"/>
        </w:rPr>
      </w:pPr>
      <w:r w:rsidRPr="004F70AD">
        <w:rPr>
          <w:rFonts w:ascii="Arial" w:hAnsi="Arial"/>
          <w:b/>
          <w:noProof/>
          <w:sz w:val="24"/>
        </w:rPr>
        <w:fldChar w:fldCharType="begin"/>
      </w:r>
      <w:r w:rsidRPr="004F70AD">
        <w:rPr>
          <w:rFonts w:ascii="Arial" w:hAnsi="Arial"/>
          <w:b/>
          <w:noProof/>
          <w:sz w:val="24"/>
        </w:rPr>
        <w:instrText xml:space="preserve"> DOCPROPERTY  Location  \* MERGEFORMAT </w:instrText>
      </w:r>
      <w:r w:rsidRPr="004F70AD">
        <w:rPr>
          <w:rFonts w:ascii="Arial" w:hAnsi="Arial"/>
          <w:b/>
          <w:noProof/>
          <w:sz w:val="24"/>
        </w:rPr>
        <w:fldChar w:fldCharType="separate"/>
      </w:r>
      <w:r w:rsidRPr="004F70AD">
        <w:rPr>
          <w:rFonts w:ascii="Arial" w:hAnsi="Arial"/>
          <w:b/>
          <w:noProof/>
          <w:sz w:val="24"/>
        </w:rPr>
        <w:t xml:space="preserve"> Online</w:t>
      </w:r>
      <w:r w:rsidRPr="004F70AD">
        <w:rPr>
          <w:rFonts w:ascii="Arial" w:hAnsi="Arial"/>
          <w:b/>
          <w:noProof/>
          <w:sz w:val="24"/>
        </w:rPr>
        <w:fldChar w:fldCharType="end"/>
      </w:r>
      <w:r>
        <w:rPr>
          <w:rFonts w:ascii="Arial" w:hAnsi="Arial"/>
          <w:b/>
          <w:noProof/>
          <w:sz w:val="24"/>
        </w:rPr>
        <w:t xml:space="preserve">, </w:t>
      </w:r>
      <w:r w:rsidRPr="009D2961">
        <w:rPr>
          <w:rFonts w:ascii="Arial" w:hAnsi="Arial"/>
          <w:b/>
          <w:noProof/>
          <w:sz w:val="24"/>
        </w:rPr>
        <w:t>Jan 25 – Feb 05, 2021</w:t>
      </w:r>
    </w:p>
    <w:p w:rsidR="00D4259F" w:rsidRDefault="00D4259F">
      <w:pPr>
        <w:pStyle w:val="CRCoverPage"/>
        <w:tabs>
          <w:tab w:val="right" w:pos="9639"/>
        </w:tabs>
        <w:spacing w:after="0"/>
        <w:rPr>
          <w:rFonts w:eastAsia="맑은 고딕"/>
          <w:b/>
          <w:noProof/>
          <w:sz w:val="24"/>
          <w:lang w:eastAsia="ko-KR"/>
        </w:rPr>
      </w:pPr>
    </w:p>
    <w:p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Agenda Item</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Pr>
          <w:rFonts w:ascii="Arial" w:hAnsi="Arial" w:cs="Arial"/>
          <w:b/>
          <w:sz w:val="28"/>
          <w:szCs w:val="28"/>
          <w:lang w:val="it-IT" w:eastAsia="ko-KR"/>
        </w:rPr>
        <w:t>8</w:t>
      </w:r>
      <w:r>
        <w:rPr>
          <w:rFonts w:ascii="Arial" w:hAnsi="Arial" w:cs="Arial" w:hint="eastAsia"/>
          <w:b/>
          <w:sz w:val="28"/>
          <w:szCs w:val="28"/>
          <w:lang w:val="it-IT" w:eastAsia="ko-KR"/>
        </w:rPr>
        <w:t>.</w:t>
      </w:r>
      <w:r>
        <w:rPr>
          <w:rFonts w:ascii="Arial" w:hAnsi="Arial" w:cs="Arial"/>
          <w:b/>
          <w:sz w:val="28"/>
          <w:szCs w:val="28"/>
          <w:lang w:val="it-IT" w:eastAsia="ko-KR"/>
        </w:rPr>
        <w:t>2.</w:t>
      </w:r>
      <w:r w:rsidR="00E02C6B">
        <w:rPr>
          <w:rFonts w:ascii="Arial" w:hAnsi="Arial" w:cs="Arial"/>
          <w:b/>
          <w:sz w:val="28"/>
          <w:szCs w:val="28"/>
          <w:lang w:val="it-IT" w:eastAsia="ko-KR"/>
        </w:rPr>
        <w:t>3</w:t>
      </w:r>
      <w:bookmarkStart w:id="0" w:name="_GoBack"/>
      <w:bookmarkEnd w:id="0"/>
    </w:p>
    <w:p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LG Electronics Inc.</w:t>
      </w:r>
    </w:p>
    <w:p w:rsidR="00D4259F" w:rsidRDefault="00B02523">
      <w:pPr>
        <w:tabs>
          <w:tab w:val="left" w:pos="1843"/>
        </w:tabs>
        <w:spacing w:after="60" w:line="288" w:lineRule="auto"/>
        <w:jc w:val="both"/>
        <w:rPr>
          <w:rFonts w:ascii="Arial" w:hAnsi="Arial" w:cs="Arial"/>
          <w:b/>
          <w:noProof/>
          <w:sz w:val="28"/>
          <w:szCs w:val="28"/>
          <w:lang w:val="en-US" w:eastAsia="ko-KR"/>
        </w:rPr>
      </w:pPr>
      <w:r>
        <w:rPr>
          <w:rFonts w:ascii="Arial" w:hAnsi="Arial" w:cs="Arial"/>
          <w:b/>
          <w:noProof/>
          <w:sz w:val="28"/>
          <w:szCs w:val="28"/>
          <w:lang w:val="en-US"/>
        </w:rPr>
        <w:t>Title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E02C6B" w:rsidRPr="00E02C6B">
        <w:rPr>
          <w:rFonts w:ascii="Arial" w:hAnsi="Arial" w:cs="Arial"/>
          <w:b/>
          <w:noProof/>
          <w:sz w:val="28"/>
          <w:szCs w:val="28"/>
          <w:lang w:val="en-US" w:eastAsia="ko-KR"/>
        </w:rPr>
        <w:t>Support for CHO and CPAC coexistence</w:t>
      </w:r>
    </w:p>
    <w:p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Document for</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Discussion and Decision</w:t>
      </w:r>
    </w:p>
    <w:p w:rsidR="00D4259F" w:rsidRDefault="00B02523">
      <w:pPr>
        <w:pStyle w:val="1"/>
        <w:rPr>
          <w:rFonts w:ascii="Times New Roman" w:hAnsi="Times New Roman"/>
          <w:lang w:val="en-US" w:eastAsia="ko-KR"/>
        </w:rPr>
      </w:pPr>
      <w:r>
        <w:rPr>
          <w:rFonts w:hint="eastAsia"/>
          <w:lang w:val="en-US" w:eastAsia="ko-KR"/>
        </w:rPr>
        <w:t>1. Introduction</w:t>
      </w:r>
    </w:p>
    <w:p w:rsidR="00D4259F" w:rsidRDefault="00B02523">
      <w:pPr>
        <w:rPr>
          <w:lang w:eastAsia="ko-KR"/>
        </w:rPr>
      </w:pPr>
      <w:r>
        <w:rPr>
          <w:lang w:eastAsia="ko-KR"/>
        </w:rPr>
        <w:t xml:space="preserve">In this contribution, we discuss </w:t>
      </w:r>
      <w:r w:rsidR="00C42515">
        <w:rPr>
          <w:lang w:eastAsia="ko-KR"/>
        </w:rPr>
        <w:t>to support configuration for CHO and CPAC coexistence</w:t>
      </w:r>
      <w:r>
        <w:rPr>
          <w:lang w:eastAsia="ko-KR"/>
        </w:rPr>
        <w:t>.</w:t>
      </w:r>
    </w:p>
    <w:p w:rsidR="00D4259F" w:rsidRDefault="00B02523">
      <w:pPr>
        <w:pStyle w:val="1"/>
        <w:spacing w:line="300" w:lineRule="atLeast"/>
        <w:rPr>
          <w:color w:val="000000"/>
          <w:lang w:eastAsia="ko-KR"/>
        </w:rPr>
      </w:pPr>
      <w:r>
        <w:rPr>
          <w:rFonts w:hint="eastAsia"/>
          <w:lang w:val="en-US" w:eastAsia="ko-KR"/>
        </w:rPr>
        <w:t>2</w:t>
      </w:r>
      <w:r>
        <w:rPr>
          <w:lang w:val="en-US"/>
        </w:rPr>
        <w:t xml:space="preserve">. </w:t>
      </w:r>
      <w:r>
        <w:rPr>
          <w:rFonts w:hint="eastAsia"/>
          <w:lang w:val="en-US" w:eastAsia="ko-KR"/>
        </w:rPr>
        <w:t>Discussion</w:t>
      </w:r>
    </w:p>
    <w:p w:rsidR="002F11C1" w:rsidRDefault="002F11C1">
      <w:pPr>
        <w:rPr>
          <w:bCs/>
          <w:lang w:eastAsia="ko-KR"/>
        </w:rPr>
      </w:pPr>
      <w:r>
        <w:rPr>
          <w:rFonts w:hint="eastAsia"/>
          <w:lang w:eastAsia="ko-KR"/>
        </w:rPr>
        <w:t xml:space="preserve">In the </w:t>
      </w:r>
      <w:r>
        <w:rPr>
          <w:lang w:eastAsia="ko-KR"/>
        </w:rPr>
        <w:t xml:space="preserve">RAN2#112e meeting, RAN2 made following agreements </w:t>
      </w:r>
      <w:r>
        <w:rPr>
          <w:rFonts w:hint="eastAsia"/>
          <w:lang w:eastAsia="ko-KR"/>
        </w:rPr>
        <w:t>for</w:t>
      </w:r>
      <w:r>
        <w:rPr>
          <w:lang w:eastAsia="ko-KR"/>
        </w:rPr>
        <w:t xml:space="preserve"> Rel-17 CPAC [1]:</w:t>
      </w:r>
    </w:p>
    <w:p w:rsidR="00332FFA" w:rsidRPr="00B5583E" w:rsidRDefault="00332FFA" w:rsidP="00332FFA">
      <w:pPr>
        <w:pStyle w:val="Doc-text2"/>
        <w:pBdr>
          <w:top w:val="single" w:sz="4" w:space="1" w:color="auto"/>
          <w:left w:val="single" w:sz="4" w:space="4" w:color="auto"/>
          <w:bottom w:val="single" w:sz="4" w:space="0" w:color="auto"/>
          <w:right w:val="single" w:sz="4" w:space="4" w:color="auto"/>
        </w:pBdr>
        <w:adjustRightInd w:val="0"/>
        <w:snapToGrid w:val="0"/>
      </w:pPr>
      <w:r w:rsidRPr="00332FFA">
        <w:t xml:space="preserve">For CPA and MN initiated Inter-SN CPC, the MN generates and transmits the conditional configuration </w:t>
      </w:r>
      <w:proofErr w:type="gramStart"/>
      <w:r w:rsidRPr="00332FFA">
        <w:t>message</w:t>
      </w:r>
      <w:proofErr w:type="gramEnd"/>
      <w:r w:rsidRPr="00B5583E">
        <w:t xml:space="preserve"> (i.e. </w:t>
      </w:r>
      <w:proofErr w:type="spellStart"/>
      <w:r w:rsidRPr="00B5583E">
        <w:t>RRCReconfiguration</w:t>
      </w:r>
      <w:proofErr w:type="spellEnd"/>
      <w:r w:rsidRPr="00B5583E">
        <w:t>/</w:t>
      </w:r>
      <w:proofErr w:type="spellStart"/>
      <w:r w:rsidRPr="00B5583E">
        <w:t>RRCConnectionReconfiguration</w:t>
      </w:r>
      <w:proofErr w:type="spellEnd"/>
      <w:r w:rsidRPr="00B5583E">
        <w:t xml:space="preserve"> message) to the UE.  The </w:t>
      </w:r>
      <w:proofErr w:type="spellStart"/>
      <w:r w:rsidRPr="00B5583E">
        <w:t>RRCReconfiguration</w:t>
      </w:r>
      <w:proofErr w:type="spellEnd"/>
      <w:r w:rsidRPr="00B5583E">
        <w:t xml:space="preserve"> provided by the candidate </w:t>
      </w:r>
      <w:proofErr w:type="spellStart"/>
      <w:r w:rsidRPr="00B5583E">
        <w:t>PSCell</w:t>
      </w:r>
      <w:proofErr w:type="spellEnd"/>
      <w:r w:rsidRPr="00B5583E">
        <w:t xml:space="preserve">(s) is encapsulated in the final conditional reconfiguration message to the UE. The MN is not allowed to alter the </w:t>
      </w:r>
      <w:proofErr w:type="spellStart"/>
      <w:r w:rsidRPr="00B5583E">
        <w:t>RRCReconfiguration</w:t>
      </w:r>
      <w:proofErr w:type="spellEnd"/>
      <w:r w:rsidRPr="00B5583E">
        <w:t xml:space="preserve"> provided by the candidate </w:t>
      </w:r>
      <w:proofErr w:type="spellStart"/>
      <w:r w:rsidRPr="00B5583E">
        <w:t>PSCell</w:t>
      </w:r>
      <w:proofErr w:type="spellEnd"/>
      <w:r w:rsidRPr="00B5583E">
        <w:t>(s).</w:t>
      </w:r>
    </w:p>
    <w:p w:rsidR="00332FFA" w:rsidRPr="00332FFA" w:rsidRDefault="00332FFA" w:rsidP="00332FFA">
      <w:pPr>
        <w:pStyle w:val="Doc-text2"/>
        <w:pBdr>
          <w:top w:val="single" w:sz="4" w:space="1" w:color="auto"/>
          <w:left w:val="single" w:sz="4" w:space="4" w:color="auto"/>
          <w:bottom w:val="single" w:sz="4" w:space="0" w:color="auto"/>
          <w:right w:val="single" w:sz="4" w:space="4" w:color="auto"/>
        </w:pBdr>
        <w:adjustRightInd w:val="0"/>
        <w:snapToGrid w:val="0"/>
      </w:pPr>
      <w:r w:rsidRPr="00332FFA">
        <w:t xml:space="preserve">Proposal 1: Option 1 should be used for the generation of conditional reconfiguration for SN initiated inter-SN conditional </w:t>
      </w:r>
      <w:proofErr w:type="spellStart"/>
      <w:r w:rsidRPr="00332FFA">
        <w:t>PSCell</w:t>
      </w:r>
      <w:proofErr w:type="spellEnd"/>
      <w:r w:rsidRPr="00332FFA">
        <w:t xml:space="preserve"> change. </w:t>
      </w:r>
    </w:p>
    <w:p w:rsidR="00332FFA" w:rsidRPr="00332FFA" w:rsidRDefault="00332FFA" w:rsidP="00332FFA">
      <w:pPr>
        <w:pStyle w:val="Doc-text2"/>
        <w:pBdr>
          <w:top w:val="single" w:sz="4" w:space="1" w:color="auto"/>
          <w:left w:val="single" w:sz="4" w:space="4" w:color="auto"/>
          <w:bottom w:val="single" w:sz="4" w:space="0" w:color="auto"/>
          <w:right w:val="single" w:sz="4" w:space="4" w:color="auto"/>
        </w:pBdr>
        <w:adjustRightInd w:val="0"/>
        <w:snapToGrid w:val="0"/>
      </w:pPr>
      <w:r w:rsidRPr="00332FFA">
        <w:t>Option 1:</w:t>
      </w:r>
      <w:r w:rsidRPr="00332FFA">
        <w:tab/>
        <w:t xml:space="preserve">The MN generates CPC. The source SN sets the execution condition and communicates it to the MN. The MN generates the conditional reconfiguration message including the execution condition(s) provided by the source SN and </w:t>
      </w:r>
      <w:proofErr w:type="spellStart"/>
      <w:r w:rsidRPr="00332FFA">
        <w:t>RRCReconfiguration</w:t>
      </w:r>
      <w:proofErr w:type="spellEnd"/>
      <w:r w:rsidRPr="00332FFA">
        <w:t xml:space="preserve"> provided by the candidate </w:t>
      </w:r>
      <w:proofErr w:type="spellStart"/>
      <w:r w:rsidRPr="00332FFA">
        <w:t>PSCell</w:t>
      </w:r>
      <w:proofErr w:type="spellEnd"/>
      <w:r w:rsidRPr="00332FFA">
        <w:t xml:space="preserve">(s). </w:t>
      </w:r>
    </w:p>
    <w:p w:rsidR="00332FFA" w:rsidRDefault="00332FFA" w:rsidP="00332FFA">
      <w:pPr>
        <w:pStyle w:val="Doc-text2"/>
        <w:pBdr>
          <w:top w:val="single" w:sz="4" w:space="1" w:color="auto"/>
          <w:left w:val="single" w:sz="4" w:space="4" w:color="auto"/>
          <w:bottom w:val="single" w:sz="4" w:space="0" w:color="auto"/>
          <w:right w:val="single" w:sz="4" w:space="4" w:color="auto"/>
        </w:pBdr>
        <w:adjustRightInd w:val="0"/>
        <w:snapToGrid w:val="0"/>
      </w:pPr>
      <w:r w:rsidRPr="00332FFA">
        <w:t xml:space="preserve">FFS how many candidate cells (UE and network impacts should be clarified). </w:t>
      </w:r>
    </w:p>
    <w:p w:rsidR="00332FFA" w:rsidRPr="00101212" w:rsidRDefault="00332FFA" w:rsidP="00332FFA">
      <w:pPr>
        <w:pStyle w:val="Doc-text2"/>
        <w:pBdr>
          <w:top w:val="single" w:sz="4" w:space="1" w:color="auto"/>
          <w:left w:val="single" w:sz="4" w:space="4" w:color="auto"/>
          <w:bottom w:val="single" w:sz="4" w:space="0" w:color="auto"/>
          <w:right w:val="single" w:sz="4" w:space="4" w:color="auto"/>
        </w:pBdr>
        <w:adjustRightInd w:val="0"/>
        <w:snapToGrid w:val="0"/>
      </w:pPr>
      <w:r w:rsidRPr="00332FFA">
        <w:t>FFS whether the number of candidate cells for CPAC different from that of CHO.</w:t>
      </w:r>
    </w:p>
    <w:p w:rsidR="00332FFA" w:rsidRPr="00332FFA" w:rsidRDefault="00332FFA">
      <w:pPr>
        <w:rPr>
          <w:bCs/>
          <w:lang w:eastAsia="ko-KR"/>
        </w:rPr>
      </w:pPr>
    </w:p>
    <w:p w:rsidR="002F11C1" w:rsidRDefault="00DC04DB" w:rsidP="00DC04DB">
      <w:pPr>
        <w:rPr>
          <w:bCs/>
          <w:lang w:eastAsia="ko-KR"/>
        </w:rPr>
      </w:pPr>
      <w:r>
        <w:rPr>
          <w:bCs/>
          <w:lang w:eastAsia="ko-KR"/>
        </w:rPr>
        <w:t xml:space="preserve">Before we </w:t>
      </w:r>
      <w:r w:rsidR="002F11C1">
        <w:rPr>
          <w:rFonts w:hint="eastAsia"/>
          <w:bCs/>
          <w:lang w:eastAsia="ko-KR"/>
        </w:rPr>
        <w:t>dis</w:t>
      </w:r>
      <w:r w:rsidR="002F11C1">
        <w:rPr>
          <w:bCs/>
          <w:lang w:eastAsia="ko-KR"/>
        </w:rPr>
        <w:t xml:space="preserve">cuss FFS, RAN2 </w:t>
      </w:r>
      <w:r>
        <w:rPr>
          <w:bCs/>
          <w:lang w:eastAsia="ko-KR"/>
        </w:rPr>
        <w:t xml:space="preserve">may </w:t>
      </w:r>
      <w:r w:rsidR="002F11C1">
        <w:rPr>
          <w:bCs/>
          <w:lang w:eastAsia="ko-KR"/>
        </w:rPr>
        <w:t xml:space="preserve">need to </w:t>
      </w:r>
      <w:r>
        <w:rPr>
          <w:bCs/>
          <w:lang w:eastAsia="ko-KR"/>
        </w:rPr>
        <w:t xml:space="preserve">confirm that the UE can be configured with </w:t>
      </w:r>
      <w:r w:rsidR="002F11C1">
        <w:rPr>
          <w:bCs/>
          <w:lang w:eastAsia="ko-KR"/>
        </w:rPr>
        <w:t xml:space="preserve">both CHO and CPAC </w:t>
      </w:r>
      <w:r w:rsidR="00DC5799">
        <w:rPr>
          <w:bCs/>
          <w:lang w:eastAsia="ko-KR"/>
        </w:rPr>
        <w:t>simultaneously</w:t>
      </w:r>
      <w:r>
        <w:rPr>
          <w:bCs/>
          <w:lang w:eastAsia="ko-KR"/>
        </w:rPr>
        <w:t xml:space="preserve">.  In our view, the simultaneous configuration of CHO and CPAC may already happen in Rel-16 because SN initiated intra-SN CPC is configured without MN involvement. We do not see any serious </w:t>
      </w:r>
      <w:r w:rsidR="00792793">
        <w:rPr>
          <w:bCs/>
          <w:lang w:eastAsia="ko-KR"/>
        </w:rPr>
        <w:t xml:space="preserve">problem </w:t>
      </w:r>
      <w:r>
        <w:rPr>
          <w:bCs/>
          <w:lang w:eastAsia="ko-KR"/>
        </w:rPr>
        <w:t xml:space="preserve">or specification impacts in </w:t>
      </w:r>
      <w:r w:rsidR="00792793">
        <w:rPr>
          <w:bCs/>
          <w:lang w:eastAsia="ko-KR"/>
        </w:rPr>
        <w:t>support</w:t>
      </w:r>
      <w:r>
        <w:rPr>
          <w:bCs/>
          <w:lang w:eastAsia="ko-KR"/>
        </w:rPr>
        <w:t>ing</w:t>
      </w:r>
      <w:r w:rsidR="00792793">
        <w:rPr>
          <w:bCs/>
          <w:lang w:eastAsia="ko-KR"/>
        </w:rPr>
        <w:t xml:space="preserve"> the coexistence</w:t>
      </w:r>
      <w:r>
        <w:rPr>
          <w:bCs/>
          <w:lang w:eastAsia="ko-KR"/>
        </w:rPr>
        <w:t xml:space="preserve"> of</w:t>
      </w:r>
      <w:r w:rsidR="00792793">
        <w:rPr>
          <w:bCs/>
          <w:lang w:eastAsia="ko-KR"/>
        </w:rPr>
        <w:t xml:space="preserve"> CHO and CPAC</w:t>
      </w:r>
      <w:r>
        <w:rPr>
          <w:bCs/>
          <w:lang w:eastAsia="ko-KR"/>
        </w:rPr>
        <w:t xml:space="preserve"> configurations</w:t>
      </w:r>
      <w:r w:rsidR="00792793">
        <w:rPr>
          <w:bCs/>
          <w:lang w:eastAsia="ko-KR"/>
        </w:rPr>
        <w:t>.</w:t>
      </w:r>
      <w:r w:rsidR="00E21EE9">
        <w:rPr>
          <w:bCs/>
          <w:lang w:eastAsia="ko-KR"/>
        </w:rPr>
        <w:t xml:space="preserve"> Thus, </w:t>
      </w:r>
      <w:r>
        <w:rPr>
          <w:bCs/>
          <w:lang w:eastAsia="ko-KR"/>
        </w:rPr>
        <w:t xml:space="preserve">RAN2 should be encouraged to support </w:t>
      </w:r>
      <w:r w:rsidR="00E21EE9">
        <w:rPr>
          <w:bCs/>
          <w:lang w:eastAsia="ko-KR"/>
        </w:rPr>
        <w:t xml:space="preserve">the </w:t>
      </w:r>
      <w:r w:rsidR="00E21EE9" w:rsidRPr="00E21EE9">
        <w:rPr>
          <w:bCs/>
          <w:lang w:eastAsia="ko-KR"/>
        </w:rPr>
        <w:t xml:space="preserve">coexistence </w:t>
      </w:r>
      <w:r>
        <w:rPr>
          <w:bCs/>
          <w:lang w:eastAsia="ko-KR"/>
        </w:rPr>
        <w:t xml:space="preserve">of </w:t>
      </w:r>
      <w:r w:rsidR="00E21EE9" w:rsidRPr="00E21EE9">
        <w:rPr>
          <w:bCs/>
          <w:lang w:eastAsia="ko-KR"/>
        </w:rPr>
        <w:t xml:space="preserve">CHO and CPAC </w:t>
      </w:r>
      <w:r>
        <w:rPr>
          <w:bCs/>
          <w:lang w:eastAsia="ko-KR"/>
        </w:rPr>
        <w:t xml:space="preserve">configurations.  </w:t>
      </w:r>
    </w:p>
    <w:p w:rsidR="005C7C56" w:rsidRPr="005C7C56" w:rsidRDefault="005C7C56">
      <w:pPr>
        <w:rPr>
          <w:b/>
          <w:bCs/>
          <w:lang w:eastAsia="ko-KR"/>
        </w:rPr>
      </w:pPr>
      <w:r w:rsidRPr="005C7C56">
        <w:rPr>
          <w:rFonts w:hint="eastAsia"/>
          <w:b/>
          <w:bCs/>
          <w:lang w:eastAsia="ko-KR"/>
        </w:rPr>
        <w:t>P</w:t>
      </w:r>
      <w:r w:rsidRPr="005C7C56">
        <w:rPr>
          <w:b/>
          <w:bCs/>
          <w:lang w:eastAsia="ko-KR"/>
        </w:rPr>
        <w:t xml:space="preserve">roposal 1. </w:t>
      </w:r>
      <w:r w:rsidR="00DC04DB">
        <w:rPr>
          <w:b/>
          <w:bCs/>
          <w:lang w:eastAsia="ko-KR"/>
        </w:rPr>
        <w:t>S</w:t>
      </w:r>
      <w:r w:rsidRPr="005C7C56">
        <w:rPr>
          <w:b/>
          <w:bCs/>
          <w:lang w:eastAsia="ko-KR"/>
        </w:rPr>
        <w:t>upport the</w:t>
      </w:r>
      <w:r w:rsidR="00792793" w:rsidRPr="00792793">
        <w:rPr>
          <w:b/>
          <w:bCs/>
          <w:lang w:eastAsia="ko-KR"/>
        </w:rPr>
        <w:t xml:space="preserve"> </w:t>
      </w:r>
      <w:r w:rsidR="00792793" w:rsidRPr="005C7C56">
        <w:rPr>
          <w:b/>
          <w:bCs/>
          <w:lang w:eastAsia="ko-KR"/>
        </w:rPr>
        <w:t>coexistence</w:t>
      </w:r>
      <w:r w:rsidRPr="005C7C56">
        <w:rPr>
          <w:b/>
          <w:bCs/>
          <w:lang w:eastAsia="ko-KR"/>
        </w:rPr>
        <w:t xml:space="preserve"> </w:t>
      </w:r>
      <w:r w:rsidR="00DC04DB">
        <w:rPr>
          <w:b/>
          <w:bCs/>
          <w:lang w:eastAsia="ko-KR"/>
        </w:rPr>
        <w:t xml:space="preserve">of </w:t>
      </w:r>
      <w:r w:rsidRPr="005C7C56">
        <w:rPr>
          <w:b/>
          <w:bCs/>
          <w:lang w:eastAsia="ko-KR"/>
        </w:rPr>
        <w:t>CHO and CPAC</w:t>
      </w:r>
      <w:r w:rsidR="00DC04DB">
        <w:rPr>
          <w:b/>
          <w:bCs/>
          <w:lang w:eastAsia="ko-KR"/>
        </w:rPr>
        <w:t xml:space="preserve"> configurations in UE</w:t>
      </w:r>
      <w:r w:rsidRPr="005C7C56">
        <w:rPr>
          <w:b/>
          <w:bCs/>
          <w:lang w:eastAsia="ko-KR"/>
        </w:rPr>
        <w:t>.</w:t>
      </w:r>
    </w:p>
    <w:p w:rsidR="005C7C56" w:rsidRPr="00792793" w:rsidRDefault="005C7C56">
      <w:pPr>
        <w:rPr>
          <w:bCs/>
          <w:lang w:eastAsia="ko-KR"/>
        </w:rPr>
      </w:pPr>
    </w:p>
    <w:p w:rsidR="00792793" w:rsidRDefault="00DC04DB">
      <w:pPr>
        <w:rPr>
          <w:bCs/>
          <w:lang w:eastAsia="ko-KR"/>
        </w:rPr>
      </w:pPr>
      <w:r>
        <w:rPr>
          <w:bCs/>
          <w:lang w:eastAsia="ko-KR"/>
        </w:rPr>
        <w:t>One issue t</w:t>
      </w:r>
      <w:r w:rsidR="005C7C56">
        <w:rPr>
          <w:rFonts w:hint="eastAsia"/>
          <w:bCs/>
          <w:lang w:eastAsia="ko-KR"/>
        </w:rPr>
        <w:t>o support</w:t>
      </w:r>
      <w:r w:rsidR="005C7C56" w:rsidRPr="005C7C56">
        <w:rPr>
          <w:bCs/>
          <w:lang w:eastAsia="ko-KR"/>
        </w:rPr>
        <w:t xml:space="preserve"> the </w:t>
      </w:r>
      <w:r w:rsidRPr="005C7C56">
        <w:rPr>
          <w:bCs/>
          <w:lang w:eastAsia="ko-KR"/>
        </w:rPr>
        <w:t xml:space="preserve">coexistence </w:t>
      </w:r>
      <w:r>
        <w:rPr>
          <w:bCs/>
          <w:lang w:eastAsia="ko-KR"/>
        </w:rPr>
        <w:t xml:space="preserve">of </w:t>
      </w:r>
      <w:r w:rsidR="005C7C56" w:rsidRPr="005C7C56">
        <w:rPr>
          <w:bCs/>
          <w:lang w:eastAsia="ko-KR"/>
        </w:rPr>
        <w:t>CHO and CPAC</w:t>
      </w:r>
      <w:r>
        <w:rPr>
          <w:bCs/>
          <w:lang w:eastAsia="ko-KR"/>
        </w:rPr>
        <w:t xml:space="preserve"> configurations is to address </w:t>
      </w:r>
      <w:r w:rsidR="00792793">
        <w:rPr>
          <w:bCs/>
          <w:lang w:eastAsia="ko-KR"/>
        </w:rPr>
        <w:t>the maximum number of candidate cells</w:t>
      </w:r>
      <w:r>
        <w:rPr>
          <w:bCs/>
          <w:lang w:eastAsia="ko-KR"/>
        </w:rPr>
        <w:t xml:space="preserve"> which the UE should support</w:t>
      </w:r>
      <w:r w:rsidR="00221006">
        <w:rPr>
          <w:bCs/>
          <w:lang w:eastAsia="ko-KR"/>
        </w:rPr>
        <w:t xml:space="preserve"> and to ensure that network configuration on CPAC should not exceed the UE capability. </w:t>
      </w:r>
    </w:p>
    <w:p w:rsidR="005C7C56" w:rsidRDefault="00221006">
      <w:pPr>
        <w:rPr>
          <w:bCs/>
          <w:lang w:eastAsia="ko-KR"/>
        </w:rPr>
      </w:pPr>
      <w:r>
        <w:rPr>
          <w:bCs/>
          <w:lang w:eastAsia="ko-KR"/>
        </w:rPr>
        <w:t>In our view, i</w:t>
      </w:r>
      <w:r w:rsidR="00792793">
        <w:rPr>
          <w:bCs/>
          <w:lang w:eastAsia="ko-KR"/>
        </w:rPr>
        <w:t xml:space="preserve">n </w:t>
      </w:r>
      <w:r w:rsidR="00792793" w:rsidRPr="00B029D1">
        <w:rPr>
          <w:bCs/>
          <w:lang w:eastAsia="ko-KR"/>
        </w:rPr>
        <w:t>all CPA</w:t>
      </w:r>
      <w:r w:rsidR="0027058E" w:rsidRPr="00B029D1">
        <w:rPr>
          <w:bCs/>
          <w:lang w:eastAsia="ko-KR"/>
        </w:rPr>
        <w:t>C</w:t>
      </w:r>
      <w:r w:rsidR="00792793" w:rsidRPr="00B029D1">
        <w:rPr>
          <w:bCs/>
          <w:lang w:eastAsia="ko-KR"/>
        </w:rPr>
        <w:t xml:space="preserve"> cases</w:t>
      </w:r>
      <w:r>
        <w:rPr>
          <w:bCs/>
          <w:lang w:eastAsia="ko-KR"/>
        </w:rPr>
        <w:t xml:space="preserve"> </w:t>
      </w:r>
      <w:r w:rsidR="00792793">
        <w:rPr>
          <w:bCs/>
          <w:lang w:eastAsia="ko-KR"/>
        </w:rPr>
        <w:t xml:space="preserve">in Rel-17, </w:t>
      </w:r>
      <w:r>
        <w:rPr>
          <w:bCs/>
          <w:lang w:eastAsia="ko-KR"/>
        </w:rPr>
        <w:t xml:space="preserve">network can ensure that the CPAC configuration does not exceed the UE capabilities. This is because in those cases, MN can know the potential capability issue of a certain CPAC configuration and resolve it before sending the problematic configuration to the UE. This </w:t>
      </w:r>
      <w:r w:rsidR="0027058E">
        <w:rPr>
          <w:bCs/>
          <w:lang w:eastAsia="ko-KR"/>
        </w:rPr>
        <w:t>means,</w:t>
      </w:r>
      <w:r>
        <w:rPr>
          <w:bCs/>
          <w:lang w:eastAsia="ko-KR"/>
        </w:rPr>
        <w:t xml:space="preserve"> in turn</w:t>
      </w:r>
      <w:r w:rsidR="0027058E">
        <w:rPr>
          <w:bCs/>
          <w:lang w:eastAsia="ko-KR"/>
        </w:rPr>
        <w:t>,</w:t>
      </w:r>
      <w:r>
        <w:rPr>
          <w:bCs/>
          <w:lang w:eastAsia="ko-KR"/>
        </w:rPr>
        <w:t xml:space="preserve"> MN is required to generate the c</w:t>
      </w:r>
      <w:r w:rsidR="00792793">
        <w:rPr>
          <w:bCs/>
          <w:lang w:eastAsia="ko-KR"/>
        </w:rPr>
        <w:t>onditional reconfiguration</w:t>
      </w:r>
      <w:r>
        <w:rPr>
          <w:bCs/>
          <w:lang w:eastAsia="ko-KR"/>
        </w:rPr>
        <w:t xml:space="preserve"> for the UE. </w:t>
      </w:r>
      <w:r w:rsidR="000514D1">
        <w:rPr>
          <w:bCs/>
          <w:lang w:eastAsia="ko-KR"/>
        </w:rPr>
        <w:t>F</w:t>
      </w:r>
      <w:r w:rsidR="00284A19">
        <w:rPr>
          <w:bCs/>
          <w:lang w:eastAsia="ko-KR"/>
        </w:rPr>
        <w:t xml:space="preserve">or example, </w:t>
      </w:r>
      <w:r w:rsidR="0067717D">
        <w:rPr>
          <w:bCs/>
          <w:lang w:eastAsia="ko-KR"/>
        </w:rPr>
        <w:t>while MN is preparing CPA</w:t>
      </w:r>
      <w:r w:rsidR="00E21EE9">
        <w:rPr>
          <w:bCs/>
          <w:lang w:eastAsia="ko-KR"/>
        </w:rPr>
        <w:t xml:space="preserve"> after configuring CHO</w:t>
      </w:r>
      <w:r w:rsidR="0067717D">
        <w:rPr>
          <w:bCs/>
          <w:lang w:eastAsia="ko-KR"/>
        </w:rPr>
        <w:t xml:space="preserve">, </w:t>
      </w:r>
      <w:r w:rsidR="00284A19">
        <w:rPr>
          <w:bCs/>
          <w:lang w:eastAsia="ko-KR"/>
        </w:rPr>
        <w:t>i</w:t>
      </w:r>
      <w:r w:rsidR="00792793">
        <w:rPr>
          <w:bCs/>
          <w:lang w:eastAsia="ko-KR"/>
        </w:rPr>
        <w:t xml:space="preserve">f the MN </w:t>
      </w:r>
      <w:r w:rsidR="00284A19">
        <w:rPr>
          <w:bCs/>
          <w:lang w:eastAsia="ko-KR"/>
        </w:rPr>
        <w:t xml:space="preserve">finds </w:t>
      </w:r>
      <w:r w:rsidR="0067717D">
        <w:rPr>
          <w:bCs/>
          <w:lang w:eastAsia="ko-KR"/>
        </w:rPr>
        <w:t xml:space="preserve">out </w:t>
      </w:r>
      <w:r w:rsidR="00284A19">
        <w:rPr>
          <w:bCs/>
          <w:lang w:eastAsia="ko-KR"/>
        </w:rPr>
        <w:t xml:space="preserve">that </w:t>
      </w:r>
      <w:r w:rsidR="00566D99">
        <w:rPr>
          <w:bCs/>
          <w:lang w:eastAsia="ko-KR"/>
        </w:rPr>
        <w:t xml:space="preserve">there is </w:t>
      </w:r>
      <w:r w:rsidR="00284A19">
        <w:rPr>
          <w:bCs/>
          <w:lang w:eastAsia="ko-KR"/>
        </w:rPr>
        <w:t xml:space="preserve">a problem </w:t>
      </w:r>
      <w:r w:rsidR="00E54BD4">
        <w:rPr>
          <w:bCs/>
          <w:lang w:eastAsia="ko-KR"/>
        </w:rPr>
        <w:t>with</w:t>
      </w:r>
      <w:r w:rsidR="00E21EE9">
        <w:rPr>
          <w:bCs/>
          <w:lang w:eastAsia="ko-KR"/>
        </w:rPr>
        <w:t xml:space="preserve"> the number of candidate cells</w:t>
      </w:r>
      <w:r w:rsidR="00284A19">
        <w:rPr>
          <w:bCs/>
          <w:lang w:eastAsia="ko-KR"/>
        </w:rPr>
        <w:t xml:space="preserve">, the MN </w:t>
      </w:r>
      <w:r w:rsidR="00E21EE9">
        <w:rPr>
          <w:bCs/>
          <w:lang w:eastAsia="ko-KR"/>
        </w:rPr>
        <w:t>can</w:t>
      </w:r>
      <w:r w:rsidR="00566D99">
        <w:rPr>
          <w:bCs/>
          <w:lang w:eastAsia="ko-KR"/>
        </w:rPr>
        <w:t xml:space="preserve"> </w:t>
      </w:r>
      <w:r w:rsidR="00E21EE9">
        <w:rPr>
          <w:bCs/>
          <w:lang w:eastAsia="ko-KR"/>
        </w:rPr>
        <w:t>resolve the problem</w:t>
      </w:r>
      <w:r w:rsidR="00310749">
        <w:rPr>
          <w:bCs/>
          <w:lang w:eastAsia="ko-KR"/>
        </w:rPr>
        <w:t xml:space="preserve"> by CPA modification</w:t>
      </w:r>
      <w:r w:rsidR="00E21EE9">
        <w:rPr>
          <w:bCs/>
          <w:lang w:eastAsia="ko-KR"/>
        </w:rPr>
        <w:t xml:space="preserve"> </w:t>
      </w:r>
      <w:r w:rsidR="00284A19">
        <w:rPr>
          <w:bCs/>
          <w:lang w:eastAsia="ko-KR"/>
        </w:rPr>
        <w:t xml:space="preserve">before sending </w:t>
      </w:r>
      <w:r w:rsidR="00E54BD4">
        <w:rPr>
          <w:bCs/>
          <w:lang w:eastAsia="ko-KR"/>
        </w:rPr>
        <w:t xml:space="preserve">it </w:t>
      </w:r>
      <w:r w:rsidR="00284A19">
        <w:rPr>
          <w:bCs/>
          <w:lang w:eastAsia="ko-KR"/>
        </w:rPr>
        <w:t>to the UE.</w:t>
      </w:r>
    </w:p>
    <w:p w:rsidR="009552D8" w:rsidRDefault="00284A19">
      <w:pPr>
        <w:rPr>
          <w:bCs/>
          <w:lang w:eastAsia="ko-KR"/>
        </w:rPr>
      </w:pPr>
      <w:r>
        <w:rPr>
          <w:rFonts w:hint="eastAsia"/>
          <w:bCs/>
          <w:lang w:eastAsia="ko-KR"/>
        </w:rPr>
        <w:lastRenderedPageBreak/>
        <w:t xml:space="preserve">However, </w:t>
      </w:r>
      <w:r>
        <w:rPr>
          <w:bCs/>
          <w:lang w:eastAsia="ko-KR"/>
        </w:rPr>
        <w:t xml:space="preserve">in </w:t>
      </w:r>
      <w:r w:rsidR="00415745">
        <w:rPr>
          <w:bCs/>
          <w:lang w:eastAsia="ko-KR"/>
        </w:rPr>
        <w:t xml:space="preserve">case of the SN initiated intra SN CPC scenario w/o MN involvement, </w:t>
      </w:r>
      <w:r w:rsidR="00221006">
        <w:rPr>
          <w:bCs/>
          <w:lang w:eastAsia="ko-KR"/>
        </w:rPr>
        <w:t xml:space="preserve">the UE may be configured with CHO and CPC that exceeds the </w:t>
      </w:r>
      <w:r w:rsidR="009552D8">
        <w:rPr>
          <w:bCs/>
          <w:lang w:eastAsia="ko-KR"/>
        </w:rPr>
        <w:t xml:space="preserve">R16 </w:t>
      </w:r>
      <w:r w:rsidR="00221006">
        <w:rPr>
          <w:bCs/>
          <w:lang w:eastAsia="ko-KR"/>
        </w:rPr>
        <w:t>UE’s capabilities</w:t>
      </w:r>
      <w:r w:rsidR="009552D8">
        <w:rPr>
          <w:bCs/>
          <w:lang w:eastAsia="ko-KR"/>
        </w:rPr>
        <w:t xml:space="preserve">. Currently the R16 UE can only support up to 8 </w:t>
      </w:r>
      <w:r w:rsidR="00393AFF">
        <w:rPr>
          <w:bCs/>
          <w:lang w:eastAsia="ko-KR"/>
        </w:rPr>
        <w:t xml:space="preserve">candidate cells </w:t>
      </w:r>
      <w:r w:rsidR="009552D8">
        <w:rPr>
          <w:bCs/>
          <w:lang w:eastAsia="ko-KR"/>
        </w:rPr>
        <w:t>for conditional mobility. Hence, i</w:t>
      </w:r>
      <w:r w:rsidR="00415745">
        <w:rPr>
          <w:bCs/>
          <w:lang w:eastAsia="ko-KR"/>
        </w:rPr>
        <w:t xml:space="preserve">f </w:t>
      </w:r>
      <w:r w:rsidR="00E54BD4">
        <w:rPr>
          <w:bCs/>
          <w:lang w:eastAsia="ko-KR"/>
        </w:rPr>
        <w:t xml:space="preserve">the </w:t>
      </w:r>
      <w:r w:rsidR="00415745">
        <w:rPr>
          <w:bCs/>
          <w:lang w:eastAsia="ko-KR"/>
        </w:rPr>
        <w:t xml:space="preserve">total maximum number of candidate cells of the CHO and the CPC exceeds </w:t>
      </w:r>
      <w:r w:rsidR="009552D8">
        <w:rPr>
          <w:bCs/>
          <w:lang w:eastAsia="ko-KR"/>
        </w:rPr>
        <w:t xml:space="preserve">8, unexpected error or failure could occur. </w:t>
      </w:r>
    </w:p>
    <w:p w:rsidR="006E5043" w:rsidRDefault="00393AFF">
      <w:pPr>
        <w:rPr>
          <w:bCs/>
          <w:lang w:eastAsia="ko-KR"/>
        </w:rPr>
      </w:pPr>
      <w:r>
        <w:rPr>
          <w:rFonts w:hint="eastAsia"/>
          <w:bCs/>
          <w:lang w:eastAsia="ko-KR"/>
        </w:rPr>
        <w:t>T</w:t>
      </w:r>
      <w:r>
        <w:rPr>
          <w:bCs/>
          <w:lang w:eastAsia="ko-KR"/>
        </w:rPr>
        <w:t xml:space="preserve">o solve the problem </w:t>
      </w:r>
      <w:r w:rsidR="00E54BD4">
        <w:rPr>
          <w:bCs/>
          <w:lang w:eastAsia="ko-KR"/>
        </w:rPr>
        <w:t xml:space="preserve">of </w:t>
      </w:r>
      <w:r>
        <w:rPr>
          <w:bCs/>
          <w:lang w:eastAsia="ko-KR"/>
        </w:rPr>
        <w:t xml:space="preserve">exceeding </w:t>
      </w:r>
      <w:r w:rsidR="00E54BD4">
        <w:rPr>
          <w:bCs/>
          <w:lang w:eastAsia="ko-KR"/>
        </w:rPr>
        <w:t xml:space="preserve">the </w:t>
      </w:r>
      <w:r w:rsidR="009552D8">
        <w:rPr>
          <w:bCs/>
          <w:lang w:eastAsia="ko-KR"/>
        </w:rPr>
        <w:t xml:space="preserve">capability, </w:t>
      </w:r>
      <w:proofErr w:type="gramStart"/>
      <w:r w:rsidR="009552D8">
        <w:rPr>
          <w:bCs/>
          <w:lang w:eastAsia="ko-KR"/>
        </w:rPr>
        <w:t xml:space="preserve">the </w:t>
      </w:r>
      <w:r>
        <w:rPr>
          <w:bCs/>
          <w:lang w:eastAsia="ko-KR"/>
        </w:rPr>
        <w:t xml:space="preserve"> simple</w:t>
      </w:r>
      <w:r w:rsidR="009552D8">
        <w:rPr>
          <w:bCs/>
          <w:lang w:eastAsia="ko-KR"/>
        </w:rPr>
        <w:t>st</w:t>
      </w:r>
      <w:proofErr w:type="gramEnd"/>
      <w:r>
        <w:rPr>
          <w:bCs/>
          <w:lang w:eastAsia="ko-KR"/>
        </w:rPr>
        <w:t xml:space="preserve"> way is </w:t>
      </w:r>
      <w:r w:rsidR="001A0970">
        <w:rPr>
          <w:bCs/>
          <w:lang w:eastAsia="ko-KR"/>
        </w:rPr>
        <w:t xml:space="preserve">to </w:t>
      </w:r>
      <w:r w:rsidR="009552D8">
        <w:rPr>
          <w:bCs/>
          <w:lang w:eastAsia="ko-KR"/>
        </w:rPr>
        <w:t xml:space="preserve">extend UE capabilities, i.e. increasing the supported </w:t>
      </w:r>
      <w:r>
        <w:rPr>
          <w:bCs/>
          <w:lang w:eastAsia="ko-KR"/>
        </w:rPr>
        <w:t xml:space="preserve">number of candidate cells </w:t>
      </w:r>
      <w:r w:rsidR="009552D8">
        <w:rPr>
          <w:bCs/>
          <w:lang w:eastAsia="ko-KR"/>
        </w:rPr>
        <w:t>from 8 to 16. We think this capability extension does not really burden UE, in that R16 UE is already capable of supporting much larger number of configuring measurement objects, measurement report configurations, and measurement IDs,  as shown in the Annex below</w:t>
      </w:r>
      <w:r w:rsidR="000514D1">
        <w:rPr>
          <w:bCs/>
          <w:lang w:eastAsia="ko-KR"/>
        </w:rPr>
        <w:t>,</w:t>
      </w:r>
      <w:r w:rsidR="009552D8">
        <w:rPr>
          <w:bCs/>
          <w:lang w:eastAsia="ko-KR"/>
        </w:rPr>
        <w:t xml:space="preserve"> which are somehow relevant to the capabilities of evaluating conditional mobility execution conditions. The capability extension only requires doubled memory for storing the candidate cell configurations</w:t>
      </w:r>
      <w:r w:rsidR="006E5043">
        <w:rPr>
          <w:bCs/>
          <w:lang w:eastAsia="ko-KR"/>
        </w:rPr>
        <w:t>.</w:t>
      </w:r>
    </w:p>
    <w:p w:rsidR="000974AE" w:rsidRDefault="000974AE">
      <w:pPr>
        <w:rPr>
          <w:b/>
          <w:bCs/>
          <w:lang w:eastAsia="ko-KR"/>
        </w:rPr>
      </w:pPr>
      <w:r w:rsidRPr="00503A3E">
        <w:rPr>
          <w:rFonts w:hint="eastAsia"/>
          <w:b/>
          <w:bCs/>
          <w:lang w:eastAsia="ko-KR"/>
        </w:rPr>
        <w:t xml:space="preserve">Proposal 2. </w:t>
      </w:r>
      <w:r w:rsidR="000514D1">
        <w:rPr>
          <w:b/>
          <w:bCs/>
          <w:lang w:eastAsia="ko-KR"/>
        </w:rPr>
        <w:t xml:space="preserve">UE supports up to 16 </w:t>
      </w:r>
      <w:r w:rsidR="00E54BD4">
        <w:rPr>
          <w:b/>
          <w:bCs/>
          <w:lang w:eastAsia="ko-KR"/>
        </w:rPr>
        <w:t xml:space="preserve">candidate cells </w:t>
      </w:r>
      <w:r w:rsidR="00310749">
        <w:rPr>
          <w:b/>
          <w:bCs/>
          <w:lang w:eastAsia="ko-KR"/>
        </w:rPr>
        <w:t xml:space="preserve">for conditional mobility </w:t>
      </w:r>
    </w:p>
    <w:p w:rsidR="00E63C4B" w:rsidRDefault="00E63C4B">
      <w:pPr>
        <w:rPr>
          <w:b/>
          <w:bCs/>
          <w:lang w:eastAsia="ko-KR"/>
        </w:rPr>
      </w:pPr>
    </w:p>
    <w:p w:rsidR="00D4259F" w:rsidRDefault="00B02523">
      <w:pPr>
        <w:pStyle w:val="1"/>
        <w:spacing w:line="300" w:lineRule="atLeast"/>
        <w:rPr>
          <w:noProof/>
          <w:lang w:val="en-US" w:eastAsia="ko-KR"/>
        </w:rPr>
      </w:pPr>
      <w:r>
        <w:rPr>
          <w:rFonts w:eastAsia="맑은 고딕" w:hint="eastAsia"/>
          <w:lang w:val="en-US" w:eastAsia="ko-KR"/>
        </w:rPr>
        <w:t>3</w:t>
      </w:r>
      <w:r>
        <w:rPr>
          <w:rFonts w:eastAsia="맑은 고딕"/>
          <w:lang w:val="en-US" w:eastAsia="ko-KR"/>
        </w:rPr>
        <w:t>.</w:t>
      </w:r>
      <w:r>
        <w:rPr>
          <w:noProof/>
          <w:lang w:val="en-US" w:eastAsia="ko-KR"/>
        </w:rPr>
        <w:t xml:space="preserve"> </w:t>
      </w:r>
      <w:r>
        <w:rPr>
          <w:rFonts w:hint="eastAsia"/>
          <w:noProof/>
          <w:lang w:val="en-US" w:eastAsia="ko-KR"/>
        </w:rPr>
        <w:t>Conclusion</w:t>
      </w:r>
    </w:p>
    <w:p w:rsidR="00D4259F" w:rsidRDefault="00B02523">
      <w:pPr>
        <w:rPr>
          <w:lang w:eastAsia="ko-KR"/>
        </w:rPr>
      </w:pPr>
      <w:r>
        <w:rPr>
          <w:lang w:eastAsia="ko-KR"/>
        </w:rPr>
        <w:t>In this contribution, we have the following proposals:</w:t>
      </w:r>
    </w:p>
    <w:p w:rsidR="000514D1" w:rsidRPr="005C7C56" w:rsidRDefault="000514D1" w:rsidP="000514D1">
      <w:pPr>
        <w:rPr>
          <w:b/>
          <w:bCs/>
          <w:lang w:eastAsia="ko-KR"/>
        </w:rPr>
      </w:pPr>
      <w:r w:rsidRPr="005C7C56">
        <w:rPr>
          <w:rFonts w:hint="eastAsia"/>
          <w:b/>
          <w:bCs/>
          <w:lang w:eastAsia="ko-KR"/>
        </w:rPr>
        <w:t>P</w:t>
      </w:r>
      <w:r w:rsidRPr="005C7C56">
        <w:rPr>
          <w:b/>
          <w:bCs/>
          <w:lang w:eastAsia="ko-KR"/>
        </w:rPr>
        <w:t xml:space="preserve">roposal 1. </w:t>
      </w:r>
      <w:r>
        <w:rPr>
          <w:b/>
          <w:bCs/>
          <w:lang w:eastAsia="ko-KR"/>
        </w:rPr>
        <w:t>S</w:t>
      </w:r>
      <w:r w:rsidRPr="005C7C56">
        <w:rPr>
          <w:b/>
          <w:bCs/>
          <w:lang w:eastAsia="ko-KR"/>
        </w:rPr>
        <w:t>upport the</w:t>
      </w:r>
      <w:r w:rsidRPr="00792793">
        <w:rPr>
          <w:b/>
          <w:bCs/>
          <w:lang w:eastAsia="ko-KR"/>
        </w:rPr>
        <w:t xml:space="preserve"> </w:t>
      </w:r>
      <w:r w:rsidRPr="005C7C56">
        <w:rPr>
          <w:b/>
          <w:bCs/>
          <w:lang w:eastAsia="ko-KR"/>
        </w:rPr>
        <w:t xml:space="preserve">coexistence </w:t>
      </w:r>
      <w:r>
        <w:rPr>
          <w:b/>
          <w:bCs/>
          <w:lang w:eastAsia="ko-KR"/>
        </w:rPr>
        <w:t xml:space="preserve">of </w:t>
      </w:r>
      <w:r w:rsidRPr="005C7C56">
        <w:rPr>
          <w:b/>
          <w:bCs/>
          <w:lang w:eastAsia="ko-KR"/>
        </w:rPr>
        <w:t>CHO and CPAC</w:t>
      </w:r>
      <w:r>
        <w:rPr>
          <w:b/>
          <w:bCs/>
          <w:lang w:eastAsia="ko-KR"/>
        </w:rPr>
        <w:t xml:space="preserve"> configurations in UE</w:t>
      </w:r>
      <w:r w:rsidRPr="005C7C56">
        <w:rPr>
          <w:b/>
          <w:bCs/>
          <w:lang w:eastAsia="ko-KR"/>
        </w:rPr>
        <w:t>.</w:t>
      </w:r>
    </w:p>
    <w:p w:rsidR="000514D1" w:rsidRDefault="000514D1" w:rsidP="000514D1">
      <w:pPr>
        <w:rPr>
          <w:b/>
          <w:bCs/>
          <w:lang w:eastAsia="ko-KR"/>
        </w:rPr>
      </w:pPr>
      <w:r w:rsidRPr="00503A3E">
        <w:rPr>
          <w:rFonts w:hint="eastAsia"/>
          <w:b/>
          <w:bCs/>
          <w:lang w:eastAsia="ko-KR"/>
        </w:rPr>
        <w:t xml:space="preserve">Proposal 2. </w:t>
      </w:r>
      <w:r>
        <w:rPr>
          <w:b/>
          <w:bCs/>
          <w:lang w:eastAsia="ko-KR"/>
        </w:rPr>
        <w:t xml:space="preserve">UE supports up to 16 candidate cells for conditional mobility  </w:t>
      </w:r>
    </w:p>
    <w:p w:rsidR="00965339" w:rsidRDefault="00965339"/>
    <w:p w:rsidR="00AD3AB2" w:rsidRDefault="00AD3AB2" w:rsidP="00AD3AB2">
      <w:pPr>
        <w:pStyle w:val="1"/>
        <w:spacing w:line="300" w:lineRule="atLeast"/>
        <w:rPr>
          <w:noProof/>
          <w:lang w:val="en-US" w:eastAsia="ko-KR"/>
        </w:rPr>
      </w:pPr>
      <w:r>
        <w:rPr>
          <w:rFonts w:eastAsia="맑은 고딕"/>
          <w:lang w:val="en-US" w:eastAsia="ko-KR"/>
        </w:rPr>
        <w:t>4.</w:t>
      </w:r>
      <w:r>
        <w:rPr>
          <w:noProof/>
          <w:lang w:val="en-US"/>
        </w:rPr>
        <w:t xml:space="preserve"> </w:t>
      </w:r>
      <w:r>
        <w:rPr>
          <w:noProof/>
          <w:lang w:val="en-US" w:eastAsia="ko-KR"/>
        </w:rPr>
        <w:t>References</w:t>
      </w:r>
    </w:p>
    <w:p w:rsidR="00AD3AB2" w:rsidRDefault="00AD3AB2">
      <w:r>
        <w:rPr>
          <w:rFonts w:hint="eastAsia"/>
          <w:lang w:val="en-US" w:eastAsia="ko-KR"/>
        </w:rPr>
        <w:t xml:space="preserve">[1] </w:t>
      </w:r>
      <w:hyperlink r:id="rId8" w:tooltip="D:Documents3GPPtsg_ranWG2TSGR2_112-eDocsR2-2010701.zip" w:history="1">
        <w:r w:rsidR="000218A9" w:rsidRPr="00967007">
          <w:rPr>
            <w:lang w:eastAsia="ko-KR"/>
          </w:rPr>
          <w:t>R2-2010701</w:t>
        </w:r>
      </w:hyperlink>
      <w:r w:rsidR="000218A9">
        <w:rPr>
          <w:lang w:eastAsia="ko-KR"/>
        </w:rPr>
        <w:tab/>
      </w:r>
      <w:r w:rsidR="000218A9" w:rsidRPr="00C56680">
        <w:rPr>
          <w:lang w:eastAsia="ko-KR"/>
        </w:rPr>
        <w:t>Report from session on LTE legacy, LTE TEI16 and NR/LTE Rel-16 Mobility</w:t>
      </w:r>
      <w:r w:rsidR="000218A9">
        <w:rPr>
          <w:lang w:eastAsia="ko-KR"/>
        </w:rPr>
        <w:tab/>
      </w:r>
      <w:r w:rsidR="000218A9" w:rsidRPr="00C56680">
        <w:rPr>
          <w:lang w:eastAsia="ko-KR"/>
        </w:rPr>
        <w:t>Nokia</w:t>
      </w:r>
    </w:p>
    <w:p w:rsidR="000218A9" w:rsidRPr="000218A9" w:rsidRDefault="000218A9"/>
    <w:p w:rsidR="00016375" w:rsidRDefault="00016375" w:rsidP="00016375">
      <w:pPr>
        <w:pStyle w:val="1"/>
        <w:spacing w:line="300" w:lineRule="atLeast"/>
        <w:rPr>
          <w:noProof/>
          <w:lang w:val="en-US" w:eastAsia="ko-KR"/>
        </w:rPr>
      </w:pPr>
      <w:r>
        <w:rPr>
          <w:rFonts w:eastAsia="맑은 고딕"/>
          <w:lang w:val="en-US" w:eastAsia="ko-KR"/>
        </w:rPr>
        <w:t>5.</w:t>
      </w:r>
      <w:r>
        <w:rPr>
          <w:noProof/>
          <w:lang w:val="en-US"/>
        </w:rPr>
        <w:t xml:space="preserve"> </w:t>
      </w:r>
      <w:r>
        <w:rPr>
          <w:noProof/>
          <w:lang w:val="en-US" w:eastAsia="ko-KR"/>
        </w:rPr>
        <w:t>Annex</w:t>
      </w:r>
      <w:r w:rsidR="00A01550">
        <w:rPr>
          <w:noProof/>
          <w:lang w:val="en-US" w:eastAsia="ko-KR"/>
        </w:rPr>
        <w:t xml:space="preserve"> – TS 38.331-g20</w:t>
      </w:r>
    </w:p>
    <w:p w:rsidR="00A01550" w:rsidRPr="00D96C74" w:rsidRDefault="00A01550" w:rsidP="00A01550">
      <w:pPr>
        <w:pStyle w:val="3"/>
      </w:pPr>
      <w:bookmarkStart w:id="1" w:name="_Toc46439535"/>
      <w:bookmarkStart w:id="2" w:name="_Toc46444372"/>
      <w:bookmarkStart w:id="3" w:name="_Toc46487133"/>
      <w:bookmarkStart w:id="4" w:name="_Toc52837011"/>
      <w:bookmarkStart w:id="5" w:name="_Toc52838019"/>
      <w:bookmarkStart w:id="6" w:name="_Toc53006659"/>
      <w:r w:rsidRPr="00D96C74">
        <w:t>6.3.2</w:t>
      </w:r>
      <w:r w:rsidRPr="00D96C74">
        <w:tab/>
        <w:t>Radio resource control information elements</w:t>
      </w:r>
      <w:bookmarkEnd w:id="1"/>
      <w:bookmarkEnd w:id="2"/>
      <w:bookmarkEnd w:id="3"/>
      <w:bookmarkEnd w:id="4"/>
      <w:bookmarkEnd w:id="5"/>
      <w:bookmarkEnd w:id="6"/>
    </w:p>
    <w:p w:rsidR="00A01550" w:rsidRPr="00D96C74" w:rsidRDefault="00A01550" w:rsidP="00A01550">
      <w:pPr>
        <w:pStyle w:val="4"/>
        <w:rPr>
          <w:i/>
        </w:rPr>
      </w:pPr>
      <w:proofErr w:type="spellStart"/>
      <w:r w:rsidRPr="00D96C74">
        <w:rPr>
          <w:i/>
        </w:rPr>
        <w:t>MeasConfig</w:t>
      </w:r>
      <w:proofErr w:type="spellEnd"/>
    </w:p>
    <w:p w:rsidR="00A01550" w:rsidRPr="00D96C74" w:rsidRDefault="00A01550" w:rsidP="00A01550">
      <w:r w:rsidRPr="00D96C74">
        <w:t xml:space="preserve">The IE </w:t>
      </w:r>
      <w:proofErr w:type="spellStart"/>
      <w:r w:rsidRPr="00D96C74">
        <w:rPr>
          <w:i/>
        </w:rPr>
        <w:t>MeasConfig</w:t>
      </w:r>
      <w:proofErr w:type="spellEnd"/>
      <w:r w:rsidRPr="00D96C74">
        <w:t xml:space="preserve"> specifies measurements to be performed by the UE, and covers intra-frequency, inter-frequency and inter-RAT mobility as well as configuration of measurement gaps.</w:t>
      </w:r>
    </w:p>
    <w:p w:rsidR="00A01550" w:rsidRPr="00D96C74" w:rsidRDefault="00A01550" w:rsidP="00A01550">
      <w:pPr>
        <w:pStyle w:val="TH"/>
      </w:pPr>
      <w:proofErr w:type="spellStart"/>
      <w:r w:rsidRPr="00D96C74">
        <w:rPr>
          <w:i/>
        </w:rPr>
        <w:t>MeasConfig</w:t>
      </w:r>
      <w:proofErr w:type="spellEnd"/>
      <w:r w:rsidRPr="00D96C74">
        <w:t xml:space="preserve"> information element</w:t>
      </w:r>
    </w:p>
    <w:p w:rsidR="00A01550" w:rsidRPr="00A560B2" w:rsidRDefault="00A01550" w:rsidP="00A01550">
      <w:pPr>
        <w:pStyle w:val="PL"/>
        <w:rPr>
          <w:color w:val="808080"/>
        </w:rPr>
      </w:pPr>
      <w:r w:rsidRPr="00A560B2">
        <w:rPr>
          <w:color w:val="808080"/>
        </w:rPr>
        <w:t>-- ASN1START</w:t>
      </w:r>
    </w:p>
    <w:p w:rsidR="00A01550" w:rsidRPr="00A560B2" w:rsidRDefault="00A01550" w:rsidP="00A01550">
      <w:pPr>
        <w:pStyle w:val="PL"/>
        <w:rPr>
          <w:color w:val="808080"/>
        </w:rPr>
      </w:pPr>
      <w:r w:rsidRPr="00A560B2">
        <w:rPr>
          <w:color w:val="808080"/>
        </w:rPr>
        <w:t>-- TAG-MEASCONFIG-START</w:t>
      </w:r>
    </w:p>
    <w:p w:rsidR="00A01550" w:rsidRPr="00D96C74" w:rsidRDefault="00A01550" w:rsidP="00A01550">
      <w:pPr>
        <w:pStyle w:val="PL"/>
      </w:pPr>
    </w:p>
    <w:p w:rsidR="00A01550" w:rsidRPr="00D96C74" w:rsidRDefault="00A01550" w:rsidP="00A01550">
      <w:pPr>
        <w:pStyle w:val="PL"/>
      </w:pPr>
      <w:r w:rsidRPr="00D96C74">
        <w:t xml:space="preserve">MeasConfig ::=                      </w:t>
      </w:r>
      <w:r w:rsidRPr="00707F04">
        <w:rPr>
          <w:color w:val="993366"/>
        </w:rPr>
        <w:t>SEQUENCE</w:t>
      </w:r>
      <w:r w:rsidRPr="00D96C74">
        <w:t xml:space="preserve"> {</w:t>
      </w:r>
    </w:p>
    <w:p w:rsidR="00A01550" w:rsidRPr="00A560B2" w:rsidRDefault="00A01550" w:rsidP="00A01550">
      <w:pPr>
        <w:pStyle w:val="PL"/>
        <w:rPr>
          <w:color w:val="808080"/>
        </w:rPr>
      </w:pPr>
      <w:r w:rsidRPr="00D96C74">
        <w:t xml:space="preserve">    measObjectToRemoveList              MeasObjectToRemoveList                                              </w:t>
      </w:r>
      <w:r w:rsidRPr="00707F04">
        <w:rPr>
          <w:color w:val="993366"/>
        </w:rPr>
        <w:t>OPTIONAL</w:t>
      </w:r>
      <w:r w:rsidRPr="00D96C74">
        <w:t xml:space="preserve">,   </w:t>
      </w:r>
      <w:r w:rsidRPr="00A560B2">
        <w:rPr>
          <w:color w:val="808080"/>
        </w:rPr>
        <w:t>-- Need N</w:t>
      </w:r>
    </w:p>
    <w:p w:rsidR="00A01550" w:rsidRPr="00A560B2" w:rsidRDefault="00A01550" w:rsidP="00A01550">
      <w:pPr>
        <w:pStyle w:val="PL"/>
        <w:rPr>
          <w:color w:val="808080"/>
        </w:rPr>
      </w:pPr>
      <w:r w:rsidRPr="00D96C74">
        <w:t xml:space="preserve">    measObjectToAddModList              MeasObjectToAddModList                                              </w:t>
      </w:r>
      <w:r w:rsidRPr="00707F04">
        <w:rPr>
          <w:color w:val="993366"/>
        </w:rPr>
        <w:t>OPTIONAL</w:t>
      </w:r>
      <w:r w:rsidRPr="00D96C74">
        <w:t xml:space="preserve">,   </w:t>
      </w:r>
      <w:r w:rsidRPr="00A560B2">
        <w:rPr>
          <w:color w:val="808080"/>
        </w:rPr>
        <w:t>-- Need N</w:t>
      </w:r>
    </w:p>
    <w:p w:rsidR="00A01550" w:rsidRPr="00A560B2" w:rsidRDefault="00A01550" w:rsidP="00A01550">
      <w:pPr>
        <w:pStyle w:val="PL"/>
        <w:rPr>
          <w:color w:val="808080"/>
        </w:rPr>
      </w:pPr>
      <w:r w:rsidRPr="00D96C74">
        <w:t xml:space="preserve">    reportConfigToRemoveList            ReportConfigToRemoveList                                            </w:t>
      </w:r>
      <w:r w:rsidRPr="00707F04">
        <w:rPr>
          <w:color w:val="993366"/>
        </w:rPr>
        <w:t>OPTIONAL</w:t>
      </w:r>
      <w:r w:rsidRPr="00D96C74">
        <w:t xml:space="preserve">,   </w:t>
      </w:r>
      <w:r w:rsidRPr="00A560B2">
        <w:rPr>
          <w:color w:val="808080"/>
        </w:rPr>
        <w:t>-- Need N</w:t>
      </w:r>
    </w:p>
    <w:p w:rsidR="00A01550" w:rsidRPr="00A560B2" w:rsidRDefault="00A01550" w:rsidP="00A01550">
      <w:pPr>
        <w:pStyle w:val="PL"/>
        <w:rPr>
          <w:color w:val="808080"/>
        </w:rPr>
      </w:pPr>
      <w:r w:rsidRPr="00D96C74">
        <w:t xml:space="preserve">    reportConfigToAddModList            ReportConfigToAddModList                                            </w:t>
      </w:r>
      <w:r w:rsidRPr="00707F04">
        <w:rPr>
          <w:color w:val="993366"/>
        </w:rPr>
        <w:t>OPTIONAL</w:t>
      </w:r>
      <w:r w:rsidRPr="00D96C74">
        <w:t xml:space="preserve">,   </w:t>
      </w:r>
      <w:r w:rsidRPr="00A560B2">
        <w:rPr>
          <w:color w:val="808080"/>
        </w:rPr>
        <w:t>-- Need N</w:t>
      </w:r>
    </w:p>
    <w:p w:rsidR="00A01550" w:rsidRPr="00A560B2" w:rsidRDefault="00A01550" w:rsidP="00A01550">
      <w:pPr>
        <w:pStyle w:val="PL"/>
        <w:rPr>
          <w:color w:val="808080"/>
        </w:rPr>
      </w:pPr>
      <w:r w:rsidRPr="00D96C74">
        <w:t xml:space="preserve">    measIdToRemoveList                  MeasIdToRemoveList                                                  </w:t>
      </w:r>
      <w:r w:rsidRPr="00707F04">
        <w:rPr>
          <w:color w:val="993366"/>
        </w:rPr>
        <w:t>OPTIONAL</w:t>
      </w:r>
      <w:r w:rsidRPr="00D96C74">
        <w:t xml:space="preserve">,   </w:t>
      </w:r>
      <w:r w:rsidRPr="00A560B2">
        <w:rPr>
          <w:color w:val="808080"/>
        </w:rPr>
        <w:t>-- Need N</w:t>
      </w:r>
    </w:p>
    <w:p w:rsidR="00A01550" w:rsidRPr="00A560B2" w:rsidRDefault="00A01550" w:rsidP="00A01550">
      <w:pPr>
        <w:pStyle w:val="PL"/>
        <w:rPr>
          <w:color w:val="808080"/>
        </w:rPr>
      </w:pPr>
      <w:r w:rsidRPr="00D96C74">
        <w:t xml:space="preserve">    measIdToAddModList                  MeasIdToAddModList                                                  </w:t>
      </w:r>
      <w:r w:rsidRPr="00707F04">
        <w:rPr>
          <w:color w:val="993366"/>
        </w:rPr>
        <w:t>OPTIONAL</w:t>
      </w:r>
      <w:r w:rsidRPr="00D96C74">
        <w:t xml:space="preserve">,   </w:t>
      </w:r>
      <w:r w:rsidRPr="00A560B2">
        <w:rPr>
          <w:color w:val="808080"/>
        </w:rPr>
        <w:t>-- Need N</w:t>
      </w:r>
    </w:p>
    <w:p w:rsidR="00A01550" w:rsidRPr="00D96C74" w:rsidRDefault="00A01550" w:rsidP="00A01550">
      <w:pPr>
        <w:pStyle w:val="PL"/>
      </w:pPr>
      <w:r w:rsidRPr="00D96C74">
        <w:t xml:space="preserve">    s-MeasureConfig                     </w:t>
      </w:r>
      <w:r w:rsidRPr="00707F04">
        <w:rPr>
          <w:color w:val="993366"/>
        </w:rPr>
        <w:t>CHOICE</w:t>
      </w:r>
      <w:r w:rsidRPr="00D96C74">
        <w:t xml:space="preserve"> {</w:t>
      </w:r>
    </w:p>
    <w:p w:rsidR="00A01550" w:rsidRPr="00D96C74" w:rsidRDefault="00A01550" w:rsidP="00A01550">
      <w:pPr>
        <w:pStyle w:val="PL"/>
      </w:pPr>
      <w:r w:rsidRPr="00D96C74">
        <w:t xml:space="preserve">        ssb-RSRP                            RSRP-Range,</w:t>
      </w:r>
    </w:p>
    <w:p w:rsidR="00A01550" w:rsidRPr="00D96C74" w:rsidRDefault="00A01550" w:rsidP="00A01550">
      <w:pPr>
        <w:pStyle w:val="PL"/>
      </w:pPr>
      <w:r w:rsidRPr="00D96C74">
        <w:lastRenderedPageBreak/>
        <w:t xml:space="preserve">        csi-RSRP                            RSRP-Range</w:t>
      </w:r>
    </w:p>
    <w:p w:rsidR="00A01550" w:rsidRPr="00A560B2" w:rsidRDefault="00A01550" w:rsidP="00A01550">
      <w:pPr>
        <w:pStyle w:val="PL"/>
        <w:rPr>
          <w:color w:val="808080"/>
        </w:rPr>
      </w:pPr>
      <w:r w:rsidRPr="00D96C74">
        <w:t xml:space="preserve">    }                                                                                                       </w:t>
      </w:r>
      <w:r w:rsidRPr="00707F04">
        <w:rPr>
          <w:color w:val="993366"/>
        </w:rPr>
        <w:t>OPTIONAL</w:t>
      </w:r>
      <w:r w:rsidRPr="00D96C74">
        <w:t xml:space="preserve">,   </w:t>
      </w:r>
      <w:r w:rsidRPr="00A560B2">
        <w:rPr>
          <w:color w:val="808080"/>
        </w:rPr>
        <w:t>-- Need M</w:t>
      </w:r>
    </w:p>
    <w:p w:rsidR="00A01550" w:rsidRPr="00A560B2" w:rsidRDefault="00A01550" w:rsidP="00A01550">
      <w:pPr>
        <w:pStyle w:val="PL"/>
        <w:rPr>
          <w:color w:val="808080"/>
        </w:rPr>
      </w:pPr>
      <w:r w:rsidRPr="00D96C74">
        <w:t xml:space="preserve">    quantityConfig                      QuantityConfig                                                      </w:t>
      </w:r>
      <w:r w:rsidRPr="00707F04">
        <w:rPr>
          <w:color w:val="993366"/>
        </w:rPr>
        <w:t>OPTIONAL</w:t>
      </w:r>
      <w:r w:rsidRPr="00D96C74">
        <w:t xml:space="preserve">,   </w:t>
      </w:r>
      <w:r w:rsidRPr="00A560B2">
        <w:rPr>
          <w:color w:val="808080"/>
        </w:rPr>
        <w:t>-- Need M</w:t>
      </w:r>
    </w:p>
    <w:p w:rsidR="00A01550" w:rsidRPr="00A560B2" w:rsidRDefault="00A01550" w:rsidP="00A01550">
      <w:pPr>
        <w:pStyle w:val="PL"/>
        <w:rPr>
          <w:color w:val="808080"/>
        </w:rPr>
      </w:pPr>
      <w:r w:rsidRPr="00D96C74">
        <w:t xml:space="preserve">    measGapConfig                       MeasGapConfig                                                       </w:t>
      </w:r>
      <w:r w:rsidRPr="00707F04">
        <w:rPr>
          <w:color w:val="993366"/>
        </w:rPr>
        <w:t>OPTIONAL</w:t>
      </w:r>
      <w:r w:rsidRPr="00D96C74">
        <w:t xml:space="preserve">,   </w:t>
      </w:r>
      <w:r w:rsidRPr="00A560B2">
        <w:rPr>
          <w:color w:val="808080"/>
        </w:rPr>
        <w:t>-- Need M</w:t>
      </w:r>
    </w:p>
    <w:p w:rsidR="00A01550" w:rsidRPr="00A560B2" w:rsidRDefault="00A01550" w:rsidP="00A01550">
      <w:pPr>
        <w:pStyle w:val="PL"/>
        <w:rPr>
          <w:color w:val="808080"/>
        </w:rPr>
      </w:pPr>
      <w:r w:rsidRPr="00D96C74">
        <w:t xml:space="preserve">    measGapSharingConfig                MeasGapSharingConfig                                                </w:t>
      </w:r>
      <w:r w:rsidRPr="00707F04">
        <w:rPr>
          <w:color w:val="993366"/>
        </w:rPr>
        <w:t>OPTIONAL</w:t>
      </w:r>
      <w:r w:rsidRPr="00D96C74">
        <w:t xml:space="preserve">,   </w:t>
      </w:r>
      <w:r w:rsidRPr="00A560B2">
        <w:rPr>
          <w:color w:val="808080"/>
        </w:rPr>
        <w:t>-- Need M</w:t>
      </w:r>
    </w:p>
    <w:p w:rsidR="00A01550" w:rsidRPr="00D96C74" w:rsidRDefault="00A01550" w:rsidP="00A01550">
      <w:pPr>
        <w:pStyle w:val="PL"/>
      </w:pPr>
      <w:r w:rsidRPr="00D96C74">
        <w:t xml:space="preserve">    ...,</w:t>
      </w:r>
    </w:p>
    <w:p w:rsidR="00A01550" w:rsidRPr="00D96C74" w:rsidRDefault="00A01550" w:rsidP="00A01550">
      <w:pPr>
        <w:pStyle w:val="PL"/>
      </w:pPr>
      <w:r w:rsidRPr="00D96C74">
        <w:t xml:space="preserve">    [[</w:t>
      </w:r>
    </w:p>
    <w:p w:rsidR="00A01550" w:rsidRPr="00A560B2" w:rsidRDefault="00A01550" w:rsidP="00A01550">
      <w:pPr>
        <w:pStyle w:val="PL"/>
        <w:rPr>
          <w:color w:val="808080"/>
        </w:rPr>
      </w:pPr>
      <w:r w:rsidRPr="00D96C74">
        <w:t xml:space="preserve">    interFrequencyConfig-NoGap-r16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Need R</w:t>
      </w:r>
    </w:p>
    <w:p w:rsidR="00A01550" w:rsidRPr="00D96C74" w:rsidRDefault="00A01550" w:rsidP="00A01550">
      <w:pPr>
        <w:pStyle w:val="PL"/>
      </w:pPr>
      <w:r w:rsidRPr="00D96C74">
        <w:t xml:space="preserve">    ]]</w:t>
      </w:r>
    </w:p>
    <w:p w:rsidR="00A01550" w:rsidRPr="00D96C74" w:rsidRDefault="00A01550" w:rsidP="00A01550">
      <w:pPr>
        <w:pStyle w:val="PL"/>
      </w:pPr>
      <w:r w:rsidRPr="00D96C74">
        <w:t>}</w:t>
      </w:r>
    </w:p>
    <w:p w:rsidR="00A01550" w:rsidRPr="00D96C74" w:rsidRDefault="00A01550" w:rsidP="00A01550">
      <w:pPr>
        <w:pStyle w:val="PL"/>
      </w:pPr>
    </w:p>
    <w:p w:rsidR="00A01550" w:rsidRPr="00D96C74" w:rsidRDefault="00A01550" w:rsidP="00A01550">
      <w:pPr>
        <w:pStyle w:val="PL"/>
      </w:pPr>
      <w:r w:rsidRPr="00D96C74">
        <w:t xml:space="preserve">MeasObjectToRemoveList ::=              </w:t>
      </w:r>
      <w:r w:rsidRPr="00707F04">
        <w:rPr>
          <w:color w:val="993366"/>
        </w:rPr>
        <w:t>SEQUENCE</w:t>
      </w:r>
      <w:r w:rsidRPr="00D96C74">
        <w:t xml:space="preserve"> (</w:t>
      </w:r>
      <w:r w:rsidRPr="00707F04">
        <w:rPr>
          <w:color w:val="993366"/>
        </w:rPr>
        <w:t>SIZE</w:t>
      </w:r>
      <w:r w:rsidRPr="00D96C74">
        <w:t xml:space="preserve"> (1..maxNrofObjectId))</w:t>
      </w:r>
      <w:r w:rsidRPr="00707F04">
        <w:rPr>
          <w:color w:val="993366"/>
        </w:rPr>
        <w:t xml:space="preserve"> OF</w:t>
      </w:r>
      <w:r w:rsidRPr="00D96C74">
        <w:t xml:space="preserve"> MeasObjectId</w:t>
      </w:r>
    </w:p>
    <w:p w:rsidR="00A01550" w:rsidRPr="00D96C74" w:rsidRDefault="00A01550" w:rsidP="00A01550">
      <w:pPr>
        <w:pStyle w:val="PL"/>
      </w:pPr>
    </w:p>
    <w:p w:rsidR="00A01550" w:rsidRPr="00D96C74" w:rsidRDefault="00A01550" w:rsidP="00A01550">
      <w:pPr>
        <w:pStyle w:val="PL"/>
      </w:pPr>
      <w:r w:rsidRPr="00D96C74">
        <w:t xml:space="preserve">MeasIdToRemoveList ::=                  </w:t>
      </w:r>
      <w:r w:rsidRPr="00707F04">
        <w:rPr>
          <w:color w:val="993366"/>
        </w:rPr>
        <w:t>SEQUENCE</w:t>
      </w:r>
      <w:r w:rsidRPr="00D96C74">
        <w:t xml:space="preserve"> (</w:t>
      </w:r>
      <w:r w:rsidRPr="00707F04">
        <w:rPr>
          <w:color w:val="993366"/>
        </w:rPr>
        <w:t>SIZE</w:t>
      </w:r>
      <w:r w:rsidRPr="00D96C74">
        <w:t xml:space="preserve"> (1..maxNrofMeasId))</w:t>
      </w:r>
      <w:r w:rsidRPr="00707F04">
        <w:rPr>
          <w:color w:val="993366"/>
        </w:rPr>
        <w:t xml:space="preserve"> OF</w:t>
      </w:r>
      <w:r w:rsidRPr="00D96C74">
        <w:t xml:space="preserve"> MeasId</w:t>
      </w:r>
    </w:p>
    <w:p w:rsidR="00A01550" w:rsidRPr="00D96C74" w:rsidRDefault="00A01550" w:rsidP="00A01550">
      <w:pPr>
        <w:pStyle w:val="PL"/>
      </w:pPr>
    </w:p>
    <w:p w:rsidR="00A01550" w:rsidRPr="00D96C74" w:rsidRDefault="00A01550" w:rsidP="00A01550">
      <w:pPr>
        <w:pStyle w:val="PL"/>
      </w:pPr>
      <w:r w:rsidRPr="00D96C74">
        <w:t xml:space="preserve">ReportConfigToRemoveList ::=            </w:t>
      </w:r>
      <w:r w:rsidRPr="00707F04">
        <w:rPr>
          <w:color w:val="993366"/>
        </w:rPr>
        <w:t>SEQUENCE</w:t>
      </w:r>
      <w:r w:rsidRPr="00D96C74">
        <w:t xml:space="preserve"> (</w:t>
      </w:r>
      <w:r w:rsidRPr="00707F04">
        <w:rPr>
          <w:color w:val="993366"/>
        </w:rPr>
        <w:t>SIZE</w:t>
      </w:r>
      <w:r w:rsidRPr="00D96C74">
        <w:t xml:space="preserve"> (1..maxReportConfigId))</w:t>
      </w:r>
      <w:r w:rsidRPr="00707F04">
        <w:rPr>
          <w:color w:val="993366"/>
        </w:rPr>
        <w:t xml:space="preserve"> OF</w:t>
      </w:r>
      <w:r w:rsidRPr="00D96C74">
        <w:t xml:space="preserve"> ReportConfigId</w:t>
      </w:r>
    </w:p>
    <w:p w:rsidR="00A01550" w:rsidRPr="00D96C74" w:rsidRDefault="00A01550" w:rsidP="00A01550">
      <w:pPr>
        <w:pStyle w:val="PL"/>
      </w:pPr>
    </w:p>
    <w:p w:rsidR="00A01550" w:rsidRPr="00A560B2" w:rsidRDefault="00A01550" w:rsidP="00A01550">
      <w:pPr>
        <w:pStyle w:val="PL"/>
        <w:rPr>
          <w:color w:val="808080"/>
        </w:rPr>
      </w:pPr>
      <w:r w:rsidRPr="00A560B2">
        <w:rPr>
          <w:color w:val="808080"/>
        </w:rPr>
        <w:t>-- TAG-MEASCONFIG-STOP</w:t>
      </w:r>
    </w:p>
    <w:p w:rsidR="00A01550" w:rsidRPr="00A560B2" w:rsidRDefault="00A01550" w:rsidP="00A01550">
      <w:pPr>
        <w:pStyle w:val="PL"/>
        <w:rPr>
          <w:color w:val="808080"/>
        </w:rPr>
      </w:pPr>
      <w:r w:rsidRPr="00A560B2">
        <w:rPr>
          <w:color w:val="808080"/>
        </w:rPr>
        <w:t>-- ASN1STOP</w:t>
      </w:r>
    </w:p>
    <w:p w:rsidR="00A01550" w:rsidRDefault="00A01550"/>
    <w:p w:rsidR="00A01550" w:rsidRPr="00D96C74" w:rsidRDefault="00A01550" w:rsidP="00A01550">
      <w:pPr>
        <w:pStyle w:val="4"/>
        <w:rPr>
          <w:i/>
        </w:rPr>
      </w:pPr>
      <w:proofErr w:type="spellStart"/>
      <w:r w:rsidRPr="00D96C74">
        <w:rPr>
          <w:i/>
        </w:rPr>
        <w:t>MeasIdToAddModList</w:t>
      </w:r>
      <w:proofErr w:type="spellEnd"/>
    </w:p>
    <w:p w:rsidR="00A01550" w:rsidRPr="00D96C74" w:rsidRDefault="00A01550" w:rsidP="00A01550">
      <w:r w:rsidRPr="00D96C74">
        <w:t xml:space="preserve">The IE </w:t>
      </w:r>
      <w:proofErr w:type="spellStart"/>
      <w:r w:rsidRPr="00D96C74">
        <w:rPr>
          <w:i/>
        </w:rPr>
        <w:t>MeasIdToAddModList</w:t>
      </w:r>
      <w:proofErr w:type="spellEnd"/>
      <w:r w:rsidRPr="00D96C74">
        <w:rPr>
          <w:i/>
        </w:rPr>
        <w:t xml:space="preserve"> </w:t>
      </w:r>
      <w:r w:rsidRPr="00D96C74">
        <w:t xml:space="preserve">concerns a list of measurement identities to add or modify, with for each entry the </w:t>
      </w:r>
      <w:proofErr w:type="spellStart"/>
      <w:r w:rsidRPr="00D96C74">
        <w:t>measId</w:t>
      </w:r>
      <w:proofErr w:type="spellEnd"/>
      <w:r w:rsidRPr="00D96C74">
        <w:t xml:space="preserve">, the associated </w:t>
      </w:r>
      <w:proofErr w:type="spellStart"/>
      <w:r w:rsidRPr="00D96C74">
        <w:rPr>
          <w:i/>
        </w:rPr>
        <w:t>measObjectId</w:t>
      </w:r>
      <w:proofErr w:type="spellEnd"/>
      <w:r w:rsidRPr="00D96C74">
        <w:t xml:space="preserve"> and the associated </w:t>
      </w:r>
      <w:proofErr w:type="spellStart"/>
      <w:r w:rsidRPr="00D96C74">
        <w:rPr>
          <w:i/>
        </w:rPr>
        <w:t>reportConfigId</w:t>
      </w:r>
      <w:proofErr w:type="spellEnd"/>
      <w:r w:rsidRPr="00D96C74">
        <w:t>.</w:t>
      </w:r>
    </w:p>
    <w:p w:rsidR="00A01550" w:rsidRPr="00D96C74" w:rsidRDefault="00A01550" w:rsidP="00A01550">
      <w:pPr>
        <w:pStyle w:val="TH"/>
      </w:pPr>
      <w:proofErr w:type="spellStart"/>
      <w:r w:rsidRPr="00D96C74">
        <w:rPr>
          <w:i/>
        </w:rPr>
        <w:t>MeasIdToAddModList</w:t>
      </w:r>
      <w:proofErr w:type="spellEnd"/>
      <w:r w:rsidRPr="00D96C74">
        <w:rPr>
          <w:i/>
        </w:rPr>
        <w:t xml:space="preserve"> </w:t>
      </w:r>
      <w:r w:rsidRPr="00D96C74">
        <w:t>information element</w:t>
      </w:r>
    </w:p>
    <w:p w:rsidR="00A01550" w:rsidRPr="00A560B2" w:rsidRDefault="00A01550" w:rsidP="00A01550">
      <w:pPr>
        <w:pStyle w:val="PL"/>
        <w:rPr>
          <w:color w:val="808080"/>
        </w:rPr>
      </w:pPr>
      <w:r w:rsidRPr="00A560B2">
        <w:rPr>
          <w:color w:val="808080"/>
        </w:rPr>
        <w:t>-- ASN1START</w:t>
      </w:r>
    </w:p>
    <w:p w:rsidR="00A01550" w:rsidRPr="00A560B2" w:rsidRDefault="00A01550" w:rsidP="00A01550">
      <w:pPr>
        <w:pStyle w:val="PL"/>
        <w:rPr>
          <w:color w:val="808080"/>
        </w:rPr>
      </w:pPr>
      <w:r w:rsidRPr="00A560B2">
        <w:rPr>
          <w:color w:val="808080"/>
        </w:rPr>
        <w:t>-- TAG-MEASIDTOADDMODLIST-START</w:t>
      </w:r>
    </w:p>
    <w:p w:rsidR="00A01550" w:rsidRPr="00D96C74" w:rsidRDefault="00A01550" w:rsidP="00A01550">
      <w:pPr>
        <w:pStyle w:val="PL"/>
      </w:pPr>
    </w:p>
    <w:p w:rsidR="00A01550" w:rsidRPr="00D96C74" w:rsidRDefault="00A01550" w:rsidP="00A01550">
      <w:pPr>
        <w:pStyle w:val="PL"/>
      </w:pPr>
      <w:r w:rsidRPr="00D96C74">
        <w:t xml:space="preserve">MeasIdToAddModList ::=              </w:t>
      </w:r>
      <w:r w:rsidRPr="00707F04">
        <w:rPr>
          <w:color w:val="993366"/>
        </w:rPr>
        <w:t>SEQUENCE</w:t>
      </w:r>
      <w:r w:rsidRPr="00D96C74">
        <w:t xml:space="preserve"> (</w:t>
      </w:r>
      <w:r w:rsidRPr="00707F04">
        <w:rPr>
          <w:color w:val="993366"/>
        </w:rPr>
        <w:t>SIZE</w:t>
      </w:r>
      <w:r w:rsidRPr="00D96C74">
        <w:t xml:space="preserve"> (1..maxNrofMeasId))</w:t>
      </w:r>
      <w:r w:rsidRPr="00707F04">
        <w:rPr>
          <w:color w:val="993366"/>
        </w:rPr>
        <w:t xml:space="preserve"> OF</w:t>
      </w:r>
      <w:r w:rsidRPr="00D96C74">
        <w:t xml:space="preserve"> MeasIdToAddMod</w:t>
      </w:r>
    </w:p>
    <w:p w:rsidR="00A01550" w:rsidRPr="00D96C74" w:rsidRDefault="00A01550" w:rsidP="00A01550">
      <w:pPr>
        <w:pStyle w:val="PL"/>
      </w:pPr>
    </w:p>
    <w:p w:rsidR="00A01550" w:rsidRPr="00D96C74" w:rsidRDefault="00A01550" w:rsidP="00A01550">
      <w:pPr>
        <w:pStyle w:val="PL"/>
      </w:pPr>
      <w:r w:rsidRPr="00D96C74">
        <w:t xml:space="preserve">MeasIdToAddMod ::=                  </w:t>
      </w:r>
      <w:r w:rsidRPr="00707F04">
        <w:rPr>
          <w:color w:val="993366"/>
        </w:rPr>
        <w:t>SEQUENCE</w:t>
      </w:r>
      <w:r w:rsidRPr="00D96C74">
        <w:t xml:space="preserve"> {</w:t>
      </w:r>
    </w:p>
    <w:p w:rsidR="00A01550" w:rsidRPr="00D96C74" w:rsidRDefault="00A01550" w:rsidP="00A01550">
      <w:pPr>
        <w:pStyle w:val="PL"/>
      </w:pPr>
      <w:r w:rsidRPr="00D96C74">
        <w:t xml:space="preserve">    measId                              MeasId,</w:t>
      </w:r>
    </w:p>
    <w:p w:rsidR="00A01550" w:rsidRPr="00D96C74" w:rsidRDefault="00A01550" w:rsidP="00A01550">
      <w:pPr>
        <w:pStyle w:val="PL"/>
      </w:pPr>
      <w:r w:rsidRPr="00D96C74">
        <w:t xml:space="preserve">    measObjectId                        MeasObjectId,</w:t>
      </w:r>
    </w:p>
    <w:p w:rsidR="00A01550" w:rsidRPr="00D96C74" w:rsidRDefault="00A01550" w:rsidP="00A01550">
      <w:pPr>
        <w:pStyle w:val="PL"/>
      </w:pPr>
      <w:r w:rsidRPr="00D96C74">
        <w:t xml:space="preserve">    reportConfigId                      ReportConfigId</w:t>
      </w:r>
    </w:p>
    <w:p w:rsidR="00A01550" w:rsidRPr="00D96C74" w:rsidRDefault="00A01550" w:rsidP="00A01550">
      <w:pPr>
        <w:pStyle w:val="PL"/>
      </w:pPr>
      <w:r w:rsidRPr="00D96C74">
        <w:t>}</w:t>
      </w:r>
    </w:p>
    <w:p w:rsidR="00A01550" w:rsidRPr="00D96C74" w:rsidRDefault="00A01550" w:rsidP="00A01550">
      <w:pPr>
        <w:pStyle w:val="PL"/>
      </w:pPr>
    </w:p>
    <w:p w:rsidR="00A01550" w:rsidRPr="00A560B2" w:rsidRDefault="00A01550" w:rsidP="00A01550">
      <w:pPr>
        <w:pStyle w:val="PL"/>
        <w:rPr>
          <w:color w:val="808080"/>
        </w:rPr>
      </w:pPr>
      <w:r w:rsidRPr="00A560B2">
        <w:rPr>
          <w:color w:val="808080"/>
        </w:rPr>
        <w:t>-- TAG-MEASIDTOADDMODLIST-STOP</w:t>
      </w:r>
    </w:p>
    <w:p w:rsidR="00A01550" w:rsidRPr="00A560B2" w:rsidRDefault="00A01550" w:rsidP="00A01550">
      <w:pPr>
        <w:pStyle w:val="PL"/>
        <w:rPr>
          <w:color w:val="808080"/>
        </w:rPr>
      </w:pPr>
      <w:r w:rsidRPr="00A560B2">
        <w:rPr>
          <w:color w:val="808080"/>
        </w:rPr>
        <w:t>-- ASN1STOP</w:t>
      </w:r>
    </w:p>
    <w:p w:rsidR="00A01550" w:rsidRDefault="00A01550"/>
    <w:p w:rsidR="00A01550" w:rsidRPr="00D96C74" w:rsidRDefault="00A01550" w:rsidP="00A01550">
      <w:pPr>
        <w:pStyle w:val="2"/>
      </w:pPr>
      <w:bookmarkStart w:id="7" w:name="_Toc46439934"/>
      <w:bookmarkStart w:id="8" w:name="_Toc46444771"/>
      <w:bookmarkStart w:id="9" w:name="_Toc46487532"/>
      <w:bookmarkStart w:id="10" w:name="_Toc52837411"/>
      <w:bookmarkStart w:id="11" w:name="_Toc52838419"/>
      <w:bookmarkStart w:id="12" w:name="_Toc53007059"/>
      <w:r w:rsidRPr="00D96C74">
        <w:t>6.4</w:t>
      </w:r>
      <w:r w:rsidRPr="00D96C74">
        <w:tab/>
        <w:t>RRC multiplicity and type constraint values</w:t>
      </w:r>
      <w:bookmarkEnd w:id="7"/>
      <w:bookmarkEnd w:id="8"/>
      <w:bookmarkEnd w:id="9"/>
      <w:bookmarkEnd w:id="10"/>
      <w:bookmarkEnd w:id="11"/>
      <w:bookmarkEnd w:id="12"/>
    </w:p>
    <w:p w:rsidR="00A01550" w:rsidRPr="00D96C74" w:rsidRDefault="00A01550" w:rsidP="00A01550">
      <w:pPr>
        <w:pStyle w:val="3"/>
      </w:pPr>
      <w:bookmarkStart w:id="13" w:name="_Toc46439935"/>
      <w:bookmarkStart w:id="14" w:name="_Toc46444772"/>
      <w:bookmarkStart w:id="15" w:name="_Toc46487533"/>
      <w:bookmarkStart w:id="16" w:name="_Toc52837412"/>
      <w:bookmarkStart w:id="17" w:name="_Toc52838420"/>
      <w:bookmarkStart w:id="18" w:name="_Toc53007060"/>
      <w:r w:rsidRPr="00D96C74">
        <w:t>–</w:t>
      </w:r>
      <w:r w:rsidRPr="00D96C74">
        <w:tab/>
        <w:t>Multiplicity and type constraint definitions</w:t>
      </w:r>
      <w:bookmarkEnd w:id="13"/>
      <w:bookmarkEnd w:id="14"/>
      <w:bookmarkEnd w:id="15"/>
      <w:bookmarkEnd w:id="16"/>
      <w:bookmarkEnd w:id="17"/>
      <w:bookmarkEnd w:id="18"/>
    </w:p>
    <w:p w:rsidR="00A01550" w:rsidRPr="00A560B2" w:rsidRDefault="00A01550" w:rsidP="00A01550">
      <w:pPr>
        <w:pStyle w:val="PL"/>
        <w:rPr>
          <w:color w:val="808080"/>
        </w:rPr>
      </w:pPr>
      <w:r w:rsidRPr="00D96C74">
        <w:t xml:space="preserve">maxCellInter                            </w:t>
      </w:r>
      <w:r w:rsidRPr="00707F04">
        <w:rPr>
          <w:color w:val="993366"/>
        </w:rPr>
        <w:t>INTEGER</w:t>
      </w:r>
      <w:r w:rsidRPr="00D96C74">
        <w:t xml:space="preserve"> ::= 16      </w:t>
      </w:r>
      <w:r w:rsidRPr="00A560B2">
        <w:rPr>
          <w:color w:val="808080"/>
        </w:rPr>
        <w:t>-- Maximum number of inter-Freq cells listed in SIB4</w:t>
      </w:r>
    </w:p>
    <w:p w:rsidR="00A01550" w:rsidRPr="00A560B2" w:rsidRDefault="00A01550" w:rsidP="00A01550">
      <w:pPr>
        <w:pStyle w:val="PL"/>
        <w:rPr>
          <w:color w:val="808080"/>
        </w:rPr>
      </w:pPr>
      <w:r w:rsidRPr="00D96C74">
        <w:t xml:space="preserve">maxCellIntra                            </w:t>
      </w:r>
      <w:r w:rsidRPr="00707F04">
        <w:rPr>
          <w:color w:val="993366"/>
        </w:rPr>
        <w:t>INTEGER</w:t>
      </w:r>
      <w:r w:rsidRPr="00D96C74">
        <w:t xml:space="preserve"> ::= 16      </w:t>
      </w:r>
      <w:r w:rsidRPr="00A560B2">
        <w:rPr>
          <w:color w:val="808080"/>
        </w:rPr>
        <w:t>-- Maximum number of intra-Freq cells listed in SIB3</w:t>
      </w:r>
    </w:p>
    <w:p w:rsidR="00A01550" w:rsidRPr="00A560B2" w:rsidRDefault="00A01550" w:rsidP="00A01550">
      <w:pPr>
        <w:pStyle w:val="PL"/>
        <w:rPr>
          <w:color w:val="808080"/>
        </w:rPr>
      </w:pPr>
      <w:r w:rsidRPr="00D96C74">
        <w:t xml:space="preserve">maxCellMeasEUTRA                        </w:t>
      </w:r>
      <w:r w:rsidRPr="00707F04">
        <w:rPr>
          <w:color w:val="993366"/>
        </w:rPr>
        <w:t>INTEGER</w:t>
      </w:r>
      <w:r w:rsidRPr="00D96C74">
        <w:t xml:space="preserve"> ::= 32      </w:t>
      </w:r>
      <w:r w:rsidRPr="00A560B2">
        <w:rPr>
          <w:color w:val="808080"/>
        </w:rPr>
        <w:t>-- Maximum number of cells in E-UTRAN</w:t>
      </w:r>
    </w:p>
    <w:p w:rsidR="00A01550" w:rsidRPr="00A560B2" w:rsidRDefault="00A01550" w:rsidP="00A01550">
      <w:pPr>
        <w:pStyle w:val="PL"/>
        <w:rPr>
          <w:color w:val="808080"/>
        </w:rPr>
      </w:pPr>
      <w:r w:rsidRPr="00D96C74">
        <w:t xml:space="preserve">maxCellMeasIdle-r16                     </w:t>
      </w:r>
      <w:r w:rsidRPr="00707F04">
        <w:rPr>
          <w:color w:val="993366"/>
        </w:rPr>
        <w:t>INTEGER</w:t>
      </w:r>
      <w:r w:rsidRPr="00D96C74">
        <w:t xml:space="preserve"> ::= 8       </w:t>
      </w:r>
      <w:r w:rsidRPr="00A560B2">
        <w:rPr>
          <w:color w:val="808080"/>
        </w:rPr>
        <w:t>-- Maximum number of cells per carrier for idle/inactive measurements</w:t>
      </w:r>
    </w:p>
    <w:p w:rsidR="00A01550" w:rsidRPr="00A560B2" w:rsidRDefault="00A01550" w:rsidP="00A01550">
      <w:pPr>
        <w:pStyle w:val="PL"/>
        <w:rPr>
          <w:color w:val="808080"/>
        </w:rPr>
      </w:pPr>
      <w:r w:rsidRPr="00D96C74">
        <w:t xml:space="preserve">maxCellMeasUTRA-FDD-r16                 </w:t>
      </w:r>
      <w:r w:rsidRPr="00707F04">
        <w:rPr>
          <w:color w:val="993366"/>
        </w:rPr>
        <w:t>INTEGER</w:t>
      </w:r>
      <w:r w:rsidRPr="00D96C74">
        <w:t xml:space="preserve"> ::= 32      </w:t>
      </w:r>
      <w:r w:rsidRPr="00A560B2">
        <w:rPr>
          <w:color w:val="808080"/>
        </w:rPr>
        <w:t>-- Maximum number of cells in FDD UTRAN</w:t>
      </w:r>
    </w:p>
    <w:p w:rsidR="00A01550" w:rsidRDefault="00A01550"/>
    <w:p w:rsidR="00A01550" w:rsidRPr="00A560B2" w:rsidRDefault="00A01550" w:rsidP="00A01550">
      <w:pPr>
        <w:pStyle w:val="PL"/>
        <w:rPr>
          <w:color w:val="808080"/>
        </w:rPr>
      </w:pPr>
      <w:r w:rsidRPr="00D96C74">
        <w:t xml:space="preserve">maxNrofObjectId                         </w:t>
      </w:r>
      <w:r w:rsidRPr="00707F04">
        <w:rPr>
          <w:color w:val="993366"/>
        </w:rPr>
        <w:t>INTEGER</w:t>
      </w:r>
      <w:r w:rsidRPr="00D96C74">
        <w:t xml:space="preserve"> ::= 64      </w:t>
      </w:r>
      <w:r w:rsidRPr="00A560B2">
        <w:rPr>
          <w:color w:val="808080"/>
        </w:rPr>
        <w:t>-- Maximum number of measurement objects</w:t>
      </w:r>
    </w:p>
    <w:p w:rsidR="00A01550" w:rsidRDefault="00A01550"/>
    <w:p w:rsidR="00A01550" w:rsidRPr="00A560B2" w:rsidRDefault="00A01550" w:rsidP="00A01550">
      <w:pPr>
        <w:pStyle w:val="PL"/>
        <w:rPr>
          <w:color w:val="808080"/>
        </w:rPr>
      </w:pPr>
      <w:r w:rsidRPr="00D96C74">
        <w:t xml:space="preserve">maxNrofMeasId                           </w:t>
      </w:r>
      <w:r w:rsidRPr="00707F04">
        <w:rPr>
          <w:color w:val="993366"/>
        </w:rPr>
        <w:t>INTEGER</w:t>
      </w:r>
      <w:r w:rsidRPr="00D96C74">
        <w:t xml:space="preserve"> ::= 64      </w:t>
      </w:r>
      <w:r w:rsidRPr="00A560B2">
        <w:rPr>
          <w:color w:val="808080"/>
        </w:rPr>
        <w:t>-- Maximum number of configured measurements</w:t>
      </w:r>
    </w:p>
    <w:p w:rsidR="00A01550" w:rsidRDefault="00A01550"/>
    <w:p w:rsidR="00A01550" w:rsidRPr="00D96C74" w:rsidRDefault="00A01550" w:rsidP="00A01550">
      <w:pPr>
        <w:pStyle w:val="PL"/>
      </w:pPr>
      <w:r w:rsidRPr="00D96C74">
        <w:t xml:space="preserve">maxReportConfigId                       </w:t>
      </w:r>
      <w:r w:rsidRPr="00707F04">
        <w:rPr>
          <w:color w:val="993366"/>
        </w:rPr>
        <w:t>INTEGER</w:t>
      </w:r>
      <w:r w:rsidRPr="00D96C74">
        <w:t xml:space="preserve"> ::= 64</w:t>
      </w:r>
    </w:p>
    <w:p w:rsidR="00A01550" w:rsidRDefault="00A01550"/>
    <w:p w:rsidR="00A01550" w:rsidRPr="00D96C74" w:rsidRDefault="00A01550" w:rsidP="00A01550">
      <w:pPr>
        <w:pStyle w:val="PL"/>
      </w:pPr>
      <w:r w:rsidRPr="00D96C74">
        <w:lastRenderedPageBreak/>
        <w:t xml:space="preserve">maxCellReport                           </w:t>
      </w:r>
      <w:r w:rsidRPr="00707F04">
        <w:rPr>
          <w:color w:val="993366"/>
        </w:rPr>
        <w:t>INTEGER</w:t>
      </w:r>
      <w:r w:rsidRPr="00D96C74">
        <w:t xml:space="preserve"> ::= 8</w:t>
      </w:r>
    </w:p>
    <w:p w:rsidR="00A01550" w:rsidRPr="00A458CF" w:rsidRDefault="00A01550"/>
    <w:sectPr w:rsidR="00A01550" w:rsidRPr="00A458CF">
      <w:footerReference w:type="even" r:id="rId9"/>
      <w:footerReference w:type="default" r:id="rId10"/>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2CF3" w:rsidRDefault="00B52CF3">
      <w:pPr>
        <w:pStyle w:val="1"/>
      </w:pPr>
      <w:r>
        <w:separator/>
      </w:r>
    </w:p>
  </w:endnote>
  <w:endnote w:type="continuationSeparator" w:id="0">
    <w:p w:rsidR="00B52CF3" w:rsidRDefault="00B52CF3">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Segoe Print"/>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74AE" w:rsidRDefault="000974A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rsidR="000974AE" w:rsidRDefault="000974A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74AE" w:rsidRDefault="000974A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1919B5">
      <w:rPr>
        <w:rStyle w:val="af1"/>
      </w:rPr>
      <w:t>4</w:t>
    </w:r>
    <w:r>
      <w:rPr>
        <w:rStyle w:val="af1"/>
      </w:rPr>
      <w:fldChar w:fldCharType="end"/>
    </w:r>
  </w:p>
  <w:p w:rsidR="000974AE" w:rsidRDefault="000974AE">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2CF3" w:rsidRDefault="00B52CF3">
      <w:pPr>
        <w:pStyle w:val="1"/>
      </w:pPr>
      <w:r>
        <w:separator/>
      </w:r>
    </w:p>
  </w:footnote>
  <w:footnote w:type="continuationSeparator" w:id="0">
    <w:p w:rsidR="00B52CF3" w:rsidRDefault="00B52CF3">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6" type="#_x0000_t75" style="width:9pt;height:9pt" o:bullet="t">
        <v:imagedata r:id="rId1" o:title="artB7FE"/>
      </v:shape>
    </w:pict>
  </w:numPicBullet>
  <w:abstractNum w:abstractNumId="0" w15:restartNumberingAfterBreak="0">
    <w:nsid w:val="036A1D08"/>
    <w:multiLevelType w:val="hybridMultilevel"/>
    <w:tmpl w:val="EBC230BA"/>
    <w:lvl w:ilvl="0" w:tplc="B4301580">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6826AD2"/>
    <w:multiLevelType w:val="hybridMultilevel"/>
    <w:tmpl w:val="C65E8396"/>
    <w:lvl w:ilvl="0" w:tplc="DC82F8E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A10272A"/>
    <w:multiLevelType w:val="hybridMultilevel"/>
    <w:tmpl w:val="3E7EF73C"/>
    <w:lvl w:ilvl="0" w:tplc="587CED94">
      <w:start w:val="1"/>
      <w:numFmt w:val="bullet"/>
      <w:lvlText w:val=""/>
      <w:lvlJc w:val="left"/>
      <w:pPr>
        <w:tabs>
          <w:tab w:val="num" w:pos="720"/>
        </w:tabs>
        <w:ind w:left="720" w:hanging="360"/>
      </w:pPr>
      <w:rPr>
        <w:rFonts w:ascii="Wingdings" w:hAnsi="Wingdings" w:hint="default"/>
      </w:rPr>
    </w:lvl>
    <w:lvl w:ilvl="1" w:tplc="FFC85ADE">
      <w:numFmt w:val="bullet"/>
      <w:lvlText w:val=""/>
      <w:lvlPicBulletId w:val="0"/>
      <w:lvlJc w:val="left"/>
      <w:pPr>
        <w:tabs>
          <w:tab w:val="num" w:pos="1440"/>
        </w:tabs>
        <w:ind w:left="1440" w:hanging="360"/>
      </w:pPr>
      <w:rPr>
        <w:rFonts w:ascii="Symbol" w:hAnsi="Symbol" w:hint="default"/>
      </w:rPr>
    </w:lvl>
    <w:lvl w:ilvl="2" w:tplc="5EA8C466">
      <w:numFmt w:val="bullet"/>
      <w:lvlText w:val=""/>
      <w:lvlJc w:val="left"/>
      <w:pPr>
        <w:tabs>
          <w:tab w:val="num" w:pos="2160"/>
        </w:tabs>
        <w:ind w:left="2160" w:hanging="360"/>
      </w:pPr>
      <w:rPr>
        <w:rFonts w:ascii="Wingdings" w:hAnsi="Wingdings" w:hint="default"/>
      </w:rPr>
    </w:lvl>
    <w:lvl w:ilvl="3" w:tplc="2F8C93AC" w:tentative="1">
      <w:start w:val="1"/>
      <w:numFmt w:val="bullet"/>
      <w:lvlText w:val=""/>
      <w:lvlJc w:val="left"/>
      <w:pPr>
        <w:tabs>
          <w:tab w:val="num" w:pos="2880"/>
        </w:tabs>
        <w:ind w:left="2880" w:hanging="360"/>
      </w:pPr>
      <w:rPr>
        <w:rFonts w:ascii="Wingdings" w:hAnsi="Wingdings" w:hint="default"/>
      </w:rPr>
    </w:lvl>
    <w:lvl w:ilvl="4" w:tplc="C52E1BFC" w:tentative="1">
      <w:start w:val="1"/>
      <w:numFmt w:val="bullet"/>
      <w:lvlText w:val=""/>
      <w:lvlJc w:val="left"/>
      <w:pPr>
        <w:tabs>
          <w:tab w:val="num" w:pos="3600"/>
        </w:tabs>
        <w:ind w:left="3600" w:hanging="360"/>
      </w:pPr>
      <w:rPr>
        <w:rFonts w:ascii="Wingdings" w:hAnsi="Wingdings" w:hint="default"/>
      </w:rPr>
    </w:lvl>
    <w:lvl w:ilvl="5" w:tplc="EBA0E464" w:tentative="1">
      <w:start w:val="1"/>
      <w:numFmt w:val="bullet"/>
      <w:lvlText w:val=""/>
      <w:lvlJc w:val="left"/>
      <w:pPr>
        <w:tabs>
          <w:tab w:val="num" w:pos="4320"/>
        </w:tabs>
        <w:ind w:left="4320" w:hanging="360"/>
      </w:pPr>
      <w:rPr>
        <w:rFonts w:ascii="Wingdings" w:hAnsi="Wingdings" w:hint="default"/>
      </w:rPr>
    </w:lvl>
    <w:lvl w:ilvl="6" w:tplc="863C0B2A" w:tentative="1">
      <w:start w:val="1"/>
      <w:numFmt w:val="bullet"/>
      <w:lvlText w:val=""/>
      <w:lvlJc w:val="left"/>
      <w:pPr>
        <w:tabs>
          <w:tab w:val="num" w:pos="5040"/>
        </w:tabs>
        <w:ind w:left="5040" w:hanging="360"/>
      </w:pPr>
      <w:rPr>
        <w:rFonts w:ascii="Wingdings" w:hAnsi="Wingdings" w:hint="default"/>
      </w:rPr>
    </w:lvl>
    <w:lvl w:ilvl="7" w:tplc="8A22CB68" w:tentative="1">
      <w:start w:val="1"/>
      <w:numFmt w:val="bullet"/>
      <w:lvlText w:val=""/>
      <w:lvlJc w:val="left"/>
      <w:pPr>
        <w:tabs>
          <w:tab w:val="num" w:pos="5760"/>
        </w:tabs>
        <w:ind w:left="5760" w:hanging="360"/>
      </w:pPr>
      <w:rPr>
        <w:rFonts w:ascii="Wingdings" w:hAnsi="Wingdings" w:hint="default"/>
      </w:rPr>
    </w:lvl>
    <w:lvl w:ilvl="8" w:tplc="FBC673A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6" w15:restartNumberingAfterBreak="0">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7"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77813A8"/>
    <w:multiLevelType w:val="hybridMultilevel"/>
    <w:tmpl w:val="C6C28BDE"/>
    <w:lvl w:ilvl="0" w:tplc="FDF07C7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A101D69"/>
    <w:multiLevelType w:val="hybridMultilevel"/>
    <w:tmpl w:val="B59CA362"/>
    <w:lvl w:ilvl="0" w:tplc="12AA6DFC">
      <w:start w:val="1"/>
      <w:numFmt w:val="decimal"/>
      <w:lvlText w:val="%1."/>
      <w:lvlJc w:val="left"/>
      <w:pPr>
        <w:ind w:left="760" w:hanging="360"/>
      </w:pPr>
      <w:rPr>
        <w:rFonts w:ascii="Arial" w:hAnsi="Arial"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34F5444"/>
    <w:multiLevelType w:val="multilevel"/>
    <w:tmpl w:val="134A4AA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BCC6FB6"/>
    <w:multiLevelType w:val="hybridMultilevel"/>
    <w:tmpl w:val="DDFA50AE"/>
    <w:lvl w:ilvl="0" w:tplc="F4E6D884">
      <w:start w:val="3"/>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22"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25"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CE34412"/>
    <w:multiLevelType w:val="hybridMultilevel"/>
    <w:tmpl w:val="BDE447C2"/>
    <w:lvl w:ilvl="0" w:tplc="20FCECC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D332B59"/>
    <w:multiLevelType w:val="hybridMultilevel"/>
    <w:tmpl w:val="174AD6F8"/>
    <w:lvl w:ilvl="0" w:tplc="7B52785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4" w15:restartNumberingAfterBreak="0">
    <w:nsid w:val="6B933A12"/>
    <w:multiLevelType w:val="hybridMultilevel"/>
    <w:tmpl w:val="60EC9EDA"/>
    <w:lvl w:ilvl="0" w:tplc="248214A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5"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23"/>
  </w:num>
  <w:num w:numId="2">
    <w:abstractNumId w:val="4"/>
  </w:num>
  <w:num w:numId="3">
    <w:abstractNumId w:val="25"/>
  </w:num>
  <w:num w:numId="4">
    <w:abstractNumId w:val="38"/>
  </w:num>
  <w:num w:numId="5">
    <w:abstractNumId w:val="26"/>
  </w:num>
  <w:num w:numId="6">
    <w:abstractNumId w:val="37"/>
  </w:num>
  <w:num w:numId="7">
    <w:abstractNumId w:val="21"/>
  </w:num>
  <w:num w:numId="8">
    <w:abstractNumId w:val="33"/>
  </w:num>
  <w:num w:numId="9">
    <w:abstractNumId w:val="15"/>
  </w:num>
  <w:num w:numId="10">
    <w:abstractNumId w:val="7"/>
  </w:num>
  <w:num w:numId="11">
    <w:abstractNumId w:val="19"/>
  </w:num>
  <w:num w:numId="12">
    <w:abstractNumId w:val="22"/>
  </w:num>
  <w:num w:numId="13">
    <w:abstractNumId w:val="29"/>
  </w:num>
  <w:num w:numId="14">
    <w:abstractNumId w:val="30"/>
  </w:num>
  <w:num w:numId="15">
    <w:abstractNumId w:val="27"/>
  </w:num>
  <w:num w:numId="16">
    <w:abstractNumId w:val="20"/>
  </w:num>
  <w:num w:numId="17">
    <w:abstractNumId w:val="36"/>
  </w:num>
  <w:num w:numId="18">
    <w:abstractNumId w:val="12"/>
  </w:num>
  <w:num w:numId="19">
    <w:abstractNumId w:val="17"/>
  </w:num>
  <w:num w:numId="20">
    <w:abstractNumId w:val="2"/>
  </w:num>
  <w:num w:numId="21">
    <w:abstractNumId w:val="24"/>
  </w:num>
  <w:num w:numId="22">
    <w:abstractNumId w:val="6"/>
  </w:num>
  <w:num w:numId="23">
    <w:abstractNumId w:val="18"/>
  </w:num>
  <w:num w:numId="24">
    <w:abstractNumId w:val="14"/>
  </w:num>
  <w:num w:numId="25">
    <w:abstractNumId w:val="39"/>
  </w:num>
  <w:num w:numId="26">
    <w:abstractNumId w:val="9"/>
  </w:num>
  <w:num w:numId="27">
    <w:abstractNumId w:val="31"/>
  </w:num>
  <w:num w:numId="28">
    <w:abstractNumId w:val="13"/>
  </w:num>
  <w:num w:numId="29">
    <w:abstractNumId w:val="10"/>
  </w:num>
  <w:num w:numId="30">
    <w:abstractNumId w:val="16"/>
  </w:num>
  <w:num w:numId="31">
    <w:abstractNumId w:val="1"/>
  </w:num>
  <w:num w:numId="32">
    <w:abstractNumId w:val="11"/>
  </w:num>
  <w:num w:numId="33">
    <w:abstractNumId w:val="0"/>
  </w:num>
  <w:num w:numId="34">
    <w:abstractNumId w:val="32"/>
  </w:num>
  <w:num w:numId="35">
    <w:abstractNumId w:val="8"/>
  </w:num>
  <w:num w:numId="36">
    <w:abstractNumId w:val="3"/>
  </w:num>
  <w:num w:numId="37">
    <w:abstractNumId w:val="34"/>
  </w:num>
  <w:num w:numId="38">
    <w:abstractNumId w:val="35"/>
  </w:num>
  <w:num w:numId="39">
    <w:abstractNumId w:val="28"/>
  </w:num>
  <w:num w:numId="40">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2NLYwNDKytLC0tDBQ0lEKTi0uzszPAykwNqoFAJ0upUAtAAAA"/>
  </w:docVars>
  <w:rsids>
    <w:rsidRoot w:val="00D4259F"/>
    <w:rsid w:val="00016375"/>
    <w:rsid w:val="000218A9"/>
    <w:rsid w:val="00031846"/>
    <w:rsid w:val="000514D1"/>
    <w:rsid w:val="0006339D"/>
    <w:rsid w:val="000649BE"/>
    <w:rsid w:val="00093861"/>
    <w:rsid w:val="000974AE"/>
    <w:rsid w:val="000D1B87"/>
    <w:rsid w:val="000D7B1E"/>
    <w:rsid w:val="00103E65"/>
    <w:rsid w:val="001225E5"/>
    <w:rsid w:val="001919B5"/>
    <w:rsid w:val="001A0970"/>
    <w:rsid w:val="001B5764"/>
    <w:rsid w:val="00221006"/>
    <w:rsid w:val="0023748D"/>
    <w:rsid w:val="00253641"/>
    <w:rsid w:val="00265A0C"/>
    <w:rsid w:val="0027058E"/>
    <w:rsid w:val="00271B78"/>
    <w:rsid w:val="00284A19"/>
    <w:rsid w:val="002C751D"/>
    <w:rsid w:val="002F11C1"/>
    <w:rsid w:val="00310749"/>
    <w:rsid w:val="00332FFA"/>
    <w:rsid w:val="00393AFF"/>
    <w:rsid w:val="003A13EA"/>
    <w:rsid w:val="00415745"/>
    <w:rsid w:val="00450F16"/>
    <w:rsid w:val="00452E1E"/>
    <w:rsid w:val="004763D5"/>
    <w:rsid w:val="00503A3E"/>
    <w:rsid w:val="00525BA2"/>
    <w:rsid w:val="005311C6"/>
    <w:rsid w:val="00566D99"/>
    <w:rsid w:val="005B7388"/>
    <w:rsid w:val="005C7C56"/>
    <w:rsid w:val="005D5423"/>
    <w:rsid w:val="006319E8"/>
    <w:rsid w:val="0063554F"/>
    <w:rsid w:val="0067717D"/>
    <w:rsid w:val="006B4DF1"/>
    <w:rsid w:val="006C36C2"/>
    <w:rsid w:val="006E5043"/>
    <w:rsid w:val="007326CC"/>
    <w:rsid w:val="00732EF6"/>
    <w:rsid w:val="00774746"/>
    <w:rsid w:val="00792793"/>
    <w:rsid w:val="007B39D1"/>
    <w:rsid w:val="007E0FE7"/>
    <w:rsid w:val="007E4C6E"/>
    <w:rsid w:val="008006D0"/>
    <w:rsid w:val="00826AA0"/>
    <w:rsid w:val="00837D1B"/>
    <w:rsid w:val="008C0CA5"/>
    <w:rsid w:val="008E5641"/>
    <w:rsid w:val="009552D8"/>
    <w:rsid w:val="00965339"/>
    <w:rsid w:val="009A01B1"/>
    <w:rsid w:val="009A0B8B"/>
    <w:rsid w:val="009F5E2F"/>
    <w:rsid w:val="00A01550"/>
    <w:rsid w:val="00A15586"/>
    <w:rsid w:val="00A458CF"/>
    <w:rsid w:val="00A55314"/>
    <w:rsid w:val="00A87792"/>
    <w:rsid w:val="00A902C9"/>
    <w:rsid w:val="00AD3AB2"/>
    <w:rsid w:val="00B02523"/>
    <w:rsid w:val="00B029D1"/>
    <w:rsid w:val="00B4253D"/>
    <w:rsid w:val="00B52CF3"/>
    <w:rsid w:val="00B54B57"/>
    <w:rsid w:val="00B655B4"/>
    <w:rsid w:val="00BD542B"/>
    <w:rsid w:val="00BE04CD"/>
    <w:rsid w:val="00C40636"/>
    <w:rsid w:val="00C42515"/>
    <w:rsid w:val="00C74C97"/>
    <w:rsid w:val="00C83DE7"/>
    <w:rsid w:val="00CA6D86"/>
    <w:rsid w:val="00CC6BE3"/>
    <w:rsid w:val="00D4259F"/>
    <w:rsid w:val="00D51148"/>
    <w:rsid w:val="00D75DC2"/>
    <w:rsid w:val="00DC04DB"/>
    <w:rsid w:val="00DC08FF"/>
    <w:rsid w:val="00DC5799"/>
    <w:rsid w:val="00DF2A71"/>
    <w:rsid w:val="00E02C6B"/>
    <w:rsid w:val="00E21EE9"/>
    <w:rsid w:val="00E22045"/>
    <w:rsid w:val="00E54BD4"/>
    <w:rsid w:val="00E63C4B"/>
    <w:rsid w:val="00E945F8"/>
    <w:rsid w:val="00F54A6E"/>
    <w:rsid w:val="00F668C0"/>
    <w:rsid w:val="00F7387C"/>
    <w:rsid w:val="00F76C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5:chartTrackingRefBased/>
  <w15:docId w15:val="{02EEA7A4-E362-4CC1-9741-66C75C4EA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uiPriority="99" w:qFormat="1"/>
    <w:lsdException w:name="Title" w:qFormat="1"/>
    <w:lsdException w:name="Subtitle" w:qFormat="1"/>
    <w:lsdException w:name="Hyperlink"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qFormat/>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uiPriority w:val="99"/>
    <w:qFormat/>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Pr>
      <w:rFonts w:ascii="Times New Roman" w:eastAsia="MS Mincho" w:hAnsi="Times New Roman"/>
      <w:b/>
      <w:lang w:val="en-GB" w:eastAsia="en-US"/>
    </w:rPr>
  </w:style>
  <w:style w:type="character" w:customStyle="1" w:styleId="Char4">
    <w:name w:val="목록 단락 Char"/>
    <w:link w:val="afa"/>
    <w:uiPriority w:val="34"/>
    <w:qFormat/>
    <w:locked/>
    <w:rPr>
      <w:rFonts w:ascii="맑은 고딕" w:eastAsia="맑은 고딕" w:hAnsi="맑은 고딕"/>
      <w:kern w:val="2"/>
      <w:szCs w:val="2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Pr>
      <w:rFonts w:ascii="Times New Roman" w:eastAsia="맑은 고딕"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 w:type="character" w:customStyle="1" w:styleId="Char1">
    <w:name w:val="메모 텍스트 Char"/>
    <w:basedOn w:val="a0"/>
    <w:link w:val="af2"/>
    <w:uiPriority w:val="99"/>
    <w:qFormat/>
    <w:rPr>
      <w:rFonts w:ascii="Times New Roman" w:hAnsi="Times New Roman"/>
      <w:lang w:eastAsia="en-US"/>
    </w:rPr>
  </w:style>
  <w:style w:type="character" w:customStyle="1" w:styleId="NOZchn">
    <w:name w:val="NO Zchn"/>
  </w:style>
  <w:style w:type="paragraph" w:customStyle="1" w:styleId="Agreement">
    <w:name w:val="Agreement"/>
    <w:basedOn w:val="a"/>
    <w:next w:val="Doc-text2"/>
    <w:qFormat/>
    <w:pPr>
      <w:numPr>
        <w:numId w:val="38"/>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uments\3GPP\tsg_ran\WG2\TSGR2_112-e\Docs\R2-2010701.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D1F26A-C72F-4446-A97A-A0EFA391E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4</Pages>
  <Words>1243</Words>
  <Characters>7087</Characters>
  <Application>Microsoft Office Word</Application>
  <DocSecurity>0</DocSecurity>
  <Lines>59</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8314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김홍석/선임연구원/차세대표준(연)5G표준Task(hassium.kim@lge.com)</dc:creator>
  <cp:keywords/>
  <dc:description/>
  <cp:lastModifiedBy>LG (HongSuk)</cp:lastModifiedBy>
  <cp:revision>3</cp:revision>
  <cp:lastPrinted>2014-08-09T03:01:00Z</cp:lastPrinted>
  <dcterms:created xsi:type="dcterms:W3CDTF">2021-01-15T02:33:00Z</dcterms:created>
  <dcterms:modified xsi:type="dcterms:W3CDTF">2021-01-15T04:50:00Z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